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4D" w:rsidRPr="00AA624D" w:rsidRDefault="00AA624D" w:rsidP="00AA624D">
      <w:pPr>
        <w:pStyle w:val="1"/>
        <w:numPr>
          <w:ilvl w:val="0"/>
          <w:numId w:val="14"/>
        </w:numPr>
        <w:tabs>
          <w:tab w:val="left" w:pos="426"/>
        </w:tabs>
        <w:spacing w:before="120" w:after="120"/>
        <w:rPr>
          <w:rFonts w:ascii="Times New Roman" w:hAnsi="Times New Roman"/>
          <w:sz w:val="24"/>
          <w:szCs w:val="24"/>
        </w:rPr>
      </w:pPr>
      <w:r w:rsidRPr="00AA624D">
        <w:rPr>
          <w:rFonts w:ascii="Times New Roman" w:hAnsi="Times New Roman"/>
          <w:sz w:val="24"/>
          <w:szCs w:val="24"/>
        </w:rPr>
        <w:t>Річний план виробництва, транспортування, постачання теплової енергії та надання послуг з централізованого опалення</w:t>
      </w:r>
      <w:bookmarkStart w:id="0" w:name="_Toc418451095"/>
    </w:p>
    <w:p w:rsidR="00AA624D" w:rsidRPr="00AA624D" w:rsidRDefault="00AA624D" w:rsidP="00AA624D">
      <w:pPr>
        <w:spacing w:after="0" w:line="240" w:lineRule="auto"/>
        <w:ind w:firstLine="357"/>
        <w:jc w:val="both"/>
        <w:rPr>
          <w:rFonts w:ascii="Times New Roman" w:hAnsi="Times New Roman"/>
          <w:sz w:val="24"/>
          <w:szCs w:val="24"/>
        </w:rPr>
      </w:pPr>
      <w:r w:rsidRPr="00AA624D">
        <w:rPr>
          <w:rFonts w:ascii="Times New Roman" w:hAnsi="Times New Roman"/>
          <w:b/>
          <w:i/>
          <w:sz w:val="24"/>
          <w:szCs w:val="24"/>
        </w:rPr>
        <w:t>Річний план виробництва та  постачання теплової</w:t>
      </w:r>
      <w:r w:rsidRPr="00AA624D">
        <w:rPr>
          <w:rFonts w:ascii="Times New Roman" w:hAnsi="Times New Roman"/>
          <w:sz w:val="24"/>
          <w:szCs w:val="24"/>
        </w:rPr>
        <w:t xml:space="preserve"> енергії був прогнозований як середньозважений на підставі техніко-економічного розрахунку максимальних приєднаних навантажень і встановленої потужності котелень, розрахункового планового обсягу виробництва теплової енергії відповідно до 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затвердженого Держжитлокомунгоспом від 14.12.1993р. та "Будівельної кліматології" ДСТУ-Н Б В.1.1-27:2010, а також з урахуванням фактичних обсягів виробництва та постачання теплової енергії за 2014-2016р. відповідно до п.13 Порядку.</w:t>
      </w:r>
    </w:p>
    <w:p w:rsidR="00AA624D" w:rsidRPr="00AA624D" w:rsidRDefault="00AA624D" w:rsidP="00AA624D">
      <w:pPr>
        <w:spacing w:after="0" w:line="240" w:lineRule="auto"/>
        <w:ind w:firstLine="539"/>
        <w:jc w:val="both"/>
        <w:rPr>
          <w:rFonts w:ascii="Times New Roman" w:hAnsi="Times New Roman"/>
          <w:sz w:val="24"/>
          <w:szCs w:val="24"/>
        </w:rPr>
      </w:pPr>
      <w:r w:rsidRPr="00AA624D">
        <w:rPr>
          <w:rFonts w:ascii="Times New Roman" w:hAnsi="Times New Roman"/>
          <w:sz w:val="24"/>
          <w:szCs w:val="24"/>
        </w:rPr>
        <w:t xml:space="preserve">Чинність КТМ підтверджено листом </w:t>
      </w:r>
      <w:proofErr w:type="spellStart"/>
      <w:r w:rsidRPr="00AA624D">
        <w:rPr>
          <w:rFonts w:ascii="Times New Roman" w:hAnsi="Times New Roman"/>
          <w:sz w:val="24"/>
          <w:szCs w:val="24"/>
        </w:rPr>
        <w:t>Мінрегіону</w:t>
      </w:r>
      <w:proofErr w:type="spellEnd"/>
      <w:r w:rsidRPr="00AA624D">
        <w:rPr>
          <w:rFonts w:ascii="Times New Roman" w:hAnsi="Times New Roman"/>
          <w:sz w:val="24"/>
          <w:szCs w:val="24"/>
        </w:rPr>
        <w:t xml:space="preserve"> від 26.05.2015р. №12/2-9-1336.</w:t>
      </w:r>
    </w:p>
    <w:p w:rsidR="00AA624D" w:rsidRPr="00AA624D" w:rsidRDefault="00AA624D" w:rsidP="00AA624D">
      <w:pPr>
        <w:widowControl w:val="0"/>
        <w:autoSpaceDE w:val="0"/>
        <w:autoSpaceDN w:val="0"/>
        <w:adjustRightInd w:val="0"/>
        <w:spacing w:after="0" w:line="240" w:lineRule="auto"/>
        <w:ind w:firstLine="357"/>
        <w:jc w:val="both"/>
        <w:rPr>
          <w:rFonts w:ascii="Times New Roman" w:hAnsi="Times New Roman"/>
          <w:sz w:val="24"/>
          <w:szCs w:val="24"/>
          <w:u w:val="single"/>
        </w:rPr>
      </w:pPr>
      <w:r w:rsidRPr="00AA624D">
        <w:rPr>
          <w:rFonts w:ascii="Times New Roman" w:hAnsi="Times New Roman"/>
          <w:sz w:val="24"/>
          <w:szCs w:val="24"/>
        </w:rPr>
        <w:t xml:space="preserve">Розрахунковий плановий </w:t>
      </w:r>
      <w:r w:rsidRPr="00AA624D">
        <w:rPr>
          <w:rFonts w:ascii="Times New Roman" w:hAnsi="Times New Roman"/>
          <w:b/>
          <w:sz w:val="24"/>
          <w:szCs w:val="24"/>
          <w:u w:val="single"/>
        </w:rPr>
        <w:t>обсяг корисного відпуску</w:t>
      </w:r>
      <w:r w:rsidRPr="00AA624D">
        <w:rPr>
          <w:rFonts w:ascii="Times New Roman" w:hAnsi="Times New Roman"/>
          <w:sz w:val="24"/>
          <w:szCs w:val="24"/>
        </w:rPr>
        <w:t xml:space="preserve"> теплової енергії склав </w:t>
      </w:r>
      <w:r w:rsidRPr="00AA624D">
        <w:rPr>
          <w:rFonts w:ascii="Times New Roman" w:hAnsi="Times New Roman"/>
          <w:b/>
          <w:sz w:val="24"/>
          <w:szCs w:val="24"/>
          <w:u w:val="single"/>
        </w:rPr>
        <w:t>1244,05Гкал</w:t>
      </w:r>
      <w:r w:rsidRPr="00AA624D">
        <w:rPr>
          <w:rFonts w:ascii="Times New Roman" w:hAnsi="Times New Roman"/>
          <w:sz w:val="24"/>
          <w:szCs w:val="24"/>
          <w:u w:val="single"/>
        </w:rPr>
        <w:t>., у т.ч.:</w:t>
      </w:r>
    </w:p>
    <w:p w:rsidR="00AA624D" w:rsidRPr="00AA624D" w:rsidRDefault="00AA624D" w:rsidP="00AA624D">
      <w:pPr>
        <w:pStyle w:val="a5"/>
        <w:widowControl w:val="0"/>
        <w:numPr>
          <w:ilvl w:val="0"/>
          <w:numId w:val="8"/>
        </w:numPr>
        <w:autoSpaceDE w:val="0"/>
        <w:autoSpaceDN w:val="0"/>
        <w:adjustRightInd w:val="0"/>
        <w:spacing w:after="0" w:line="240" w:lineRule="auto"/>
        <w:jc w:val="both"/>
        <w:rPr>
          <w:rFonts w:ascii="Times New Roman" w:hAnsi="Times New Roman"/>
          <w:sz w:val="24"/>
          <w:szCs w:val="24"/>
        </w:rPr>
      </w:pPr>
      <w:r w:rsidRPr="00AA624D">
        <w:rPr>
          <w:rFonts w:ascii="Times New Roman" w:hAnsi="Times New Roman"/>
          <w:sz w:val="24"/>
          <w:szCs w:val="24"/>
        </w:rPr>
        <w:t>1034,87Гкал  - покупна теплова енергія від ПАТ «</w:t>
      </w:r>
      <w:proofErr w:type="spellStart"/>
      <w:r w:rsidRPr="00AA624D">
        <w:rPr>
          <w:rFonts w:ascii="Times New Roman" w:hAnsi="Times New Roman"/>
          <w:sz w:val="24"/>
          <w:szCs w:val="24"/>
        </w:rPr>
        <w:t>Київенерго</w:t>
      </w:r>
      <w:proofErr w:type="spellEnd"/>
      <w:r w:rsidRPr="00AA624D">
        <w:rPr>
          <w:rFonts w:ascii="Times New Roman" w:hAnsi="Times New Roman"/>
          <w:sz w:val="24"/>
          <w:szCs w:val="24"/>
        </w:rPr>
        <w:t>» для населення та інших споживачів (крім бюджетних установ);</w:t>
      </w:r>
    </w:p>
    <w:p w:rsidR="00AA624D" w:rsidRPr="00AA624D" w:rsidRDefault="00AA624D" w:rsidP="00AA624D">
      <w:pPr>
        <w:pStyle w:val="a5"/>
        <w:widowControl w:val="0"/>
        <w:numPr>
          <w:ilvl w:val="0"/>
          <w:numId w:val="8"/>
        </w:numPr>
        <w:autoSpaceDE w:val="0"/>
        <w:autoSpaceDN w:val="0"/>
        <w:adjustRightInd w:val="0"/>
        <w:spacing w:after="0" w:line="240" w:lineRule="auto"/>
        <w:jc w:val="both"/>
        <w:rPr>
          <w:rFonts w:ascii="Times New Roman" w:hAnsi="Times New Roman"/>
          <w:sz w:val="24"/>
          <w:szCs w:val="24"/>
        </w:rPr>
      </w:pPr>
      <w:r w:rsidRPr="00AA624D">
        <w:rPr>
          <w:rFonts w:ascii="Times New Roman" w:hAnsi="Times New Roman"/>
          <w:sz w:val="24"/>
          <w:szCs w:val="24"/>
        </w:rPr>
        <w:t>209,18Гкал – теплова енергія від власної котельні для інших споживачів (крім бюджетних установ).</w:t>
      </w:r>
    </w:p>
    <w:p w:rsidR="00AA624D" w:rsidRPr="00AA624D" w:rsidRDefault="00AA624D" w:rsidP="00AA624D">
      <w:pPr>
        <w:pStyle w:val="a5"/>
        <w:ind w:left="0" w:firstLine="720"/>
        <w:jc w:val="both"/>
        <w:rPr>
          <w:rFonts w:ascii="Times New Roman" w:hAnsi="Times New Roman"/>
          <w:sz w:val="24"/>
          <w:szCs w:val="24"/>
        </w:rPr>
      </w:pPr>
      <w:r w:rsidRPr="00AA624D">
        <w:rPr>
          <w:rFonts w:ascii="Times New Roman" w:hAnsi="Times New Roman"/>
          <w:sz w:val="24"/>
          <w:szCs w:val="24"/>
        </w:rPr>
        <w:t xml:space="preserve">В розрахунку планових витрат загальний </w:t>
      </w:r>
      <w:r w:rsidRPr="00AA624D">
        <w:rPr>
          <w:rFonts w:ascii="Times New Roman" w:hAnsi="Times New Roman"/>
          <w:b/>
          <w:sz w:val="24"/>
          <w:szCs w:val="24"/>
          <w:u w:val="single"/>
        </w:rPr>
        <w:t xml:space="preserve">обсяг планованого виробництва теплової енергії власною </w:t>
      </w:r>
      <w:proofErr w:type="spellStart"/>
      <w:r w:rsidRPr="00AA624D">
        <w:rPr>
          <w:rFonts w:ascii="Times New Roman" w:hAnsi="Times New Roman"/>
          <w:b/>
          <w:sz w:val="24"/>
          <w:szCs w:val="24"/>
          <w:u w:val="single"/>
        </w:rPr>
        <w:t>котельнею</w:t>
      </w:r>
      <w:r w:rsidRPr="00AA624D">
        <w:rPr>
          <w:rFonts w:ascii="Times New Roman" w:hAnsi="Times New Roman"/>
          <w:sz w:val="24"/>
          <w:szCs w:val="24"/>
        </w:rPr>
        <w:t>складає</w:t>
      </w:r>
      <w:proofErr w:type="spellEnd"/>
      <w:r w:rsidRPr="00AA624D">
        <w:rPr>
          <w:rFonts w:ascii="Times New Roman" w:hAnsi="Times New Roman"/>
          <w:sz w:val="24"/>
          <w:szCs w:val="24"/>
        </w:rPr>
        <w:t xml:space="preserve"> </w:t>
      </w:r>
      <w:r w:rsidRPr="00AA624D">
        <w:rPr>
          <w:rFonts w:ascii="Times New Roman" w:hAnsi="Times New Roman"/>
          <w:b/>
          <w:sz w:val="24"/>
          <w:szCs w:val="24"/>
          <w:u w:val="single"/>
        </w:rPr>
        <w:t>213,88Гкал.</w:t>
      </w:r>
      <w:r w:rsidRPr="00AA624D">
        <w:rPr>
          <w:rFonts w:ascii="Times New Roman" w:hAnsi="Times New Roman"/>
          <w:sz w:val="24"/>
          <w:szCs w:val="24"/>
          <w:u w:val="single"/>
        </w:rPr>
        <w:t>:</w:t>
      </w:r>
    </w:p>
    <w:p w:rsidR="00AA624D" w:rsidRPr="00AA624D" w:rsidRDefault="00AA624D" w:rsidP="00AA624D">
      <w:pPr>
        <w:pStyle w:val="a5"/>
        <w:ind w:left="0" w:firstLine="720"/>
        <w:jc w:val="both"/>
        <w:rPr>
          <w:rFonts w:ascii="Times New Roman" w:hAnsi="Times New Roman"/>
          <w:sz w:val="24"/>
          <w:szCs w:val="24"/>
        </w:rPr>
      </w:pPr>
      <w:r w:rsidRPr="00AA624D">
        <w:rPr>
          <w:rFonts w:ascii="Times New Roman" w:hAnsi="Times New Roman"/>
          <w:sz w:val="24"/>
          <w:szCs w:val="24"/>
        </w:rPr>
        <w:t xml:space="preserve">- </w:t>
      </w:r>
      <w:r w:rsidRPr="00AA624D">
        <w:rPr>
          <w:rFonts w:ascii="Times New Roman" w:hAnsi="Times New Roman"/>
          <w:i/>
          <w:sz w:val="24"/>
          <w:szCs w:val="24"/>
        </w:rPr>
        <w:t>витрати на власні потреби</w:t>
      </w:r>
      <w:r w:rsidRPr="00AA624D">
        <w:rPr>
          <w:rFonts w:ascii="Times New Roman" w:hAnsi="Times New Roman"/>
          <w:sz w:val="24"/>
          <w:szCs w:val="24"/>
        </w:rPr>
        <w:t xml:space="preserve"> склали 4,7Гкал. або 2,2% від загального обсягу виробленої теплової енергії, що не перевищує норм витрат теплоти на власні потреби котелень  згідно Додатку 5 КТМ 204 України 244-94;</w:t>
      </w:r>
    </w:p>
    <w:p w:rsidR="00AA624D" w:rsidRPr="00AA624D" w:rsidRDefault="00AA624D" w:rsidP="00AA624D">
      <w:pPr>
        <w:pStyle w:val="a5"/>
        <w:ind w:left="0" w:firstLine="720"/>
        <w:jc w:val="both"/>
        <w:rPr>
          <w:rFonts w:ascii="Times New Roman" w:hAnsi="Times New Roman"/>
          <w:sz w:val="24"/>
          <w:szCs w:val="24"/>
        </w:rPr>
      </w:pPr>
      <w:r w:rsidRPr="00AA624D">
        <w:rPr>
          <w:rFonts w:ascii="Times New Roman" w:hAnsi="Times New Roman"/>
          <w:sz w:val="24"/>
          <w:szCs w:val="24"/>
        </w:rPr>
        <w:t xml:space="preserve">- </w:t>
      </w:r>
      <w:r w:rsidRPr="00AA624D">
        <w:rPr>
          <w:rFonts w:ascii="Times New Roman" w:hAnsi="Times New Roman"/>
          <w:i/>
          <w:sz w:val="24"/>
          <w:szCs w:val="24"/>
        </w:rPr>
        <w:t>втрати теплоти в теплових мережах</w:t>
      </w:r>
      <w:r w:rsidRPr="00AA624D">
        <w:rPr>
          <w:rFonts w:ascii="Times New Roman" w:hAnsi="Times New Roman"/>
          <w:sz w:val="24"/>
          <w:szCs w:val="24"/>
        </w:rPr>
        <w:t xml:space="preserve"> при транспортуванні теплової енергії складають – 0 </w:t>
      </w:r>
      <w:proofErr w:type="spellStart"/>
      <w:r w:rsidRPr="00AA624D">
        <w:rPr>
          <w:rFonts w:ascii="Times New Roman" w:hAnsi="Times New Roman"/>
          <w:sz w:val="24"/>
          <w:szCs w:val="24"/>
        </w:rPr>
        <w:t>Гкал</w:t>
      </w:r>
      <w:proofErr w:type="spellEnd"/>
      <w:r w:rsidRPr="00AA624D">
        <w:rPr>
          <w:rFonts w:ascii="Times New Roman" w:hAnsi="Times New Roman"/>
          <w:sz w:val="24"/>
          <w:szCs w:val="24"/>
        </w:rPr>
        <w:t>. у зв’язку з відсутністю теплових мереж.</w:t>
      </w:r>
    </w:p>
    <w:bookmarkEnd w:id="0"/>
    <w:p w:rsidR="00AA624D" w:rsidRPr="00AA624D" w:rsidRDefault="00AA624D" w:rsidP="00AA624D">
      <w:pPr>
        <w:numPr>
          <w:ilvl w:val="0"/>
          <w:numId w:val="4"/>
        </w:numPr>
        <w:tabs>
          <w:tab w:val="left" w:pos="709"/>
          <w:tab w:val="left" w:pos="9952"/>
          <w:tab w:val="left" w:pos="11788"/>
          <w:tab w:val="left" w:pos="13324"/>
        </w:tabs>
        <w:spacing w:after="0" w:line="240" w:lineRule="auto"/>
        <w:ind w:left="714" w:hanging="357"/>
        <w:jc w:val="both"/>
        <w:rPr>
          <w:rFonts w:ascii="Times New Roman" w:hAnsi="Times New Roman"/>
          <w:sz w:val="24"/>
          <w:szCs w:val="24"/>
        </w:rPr>
      </w:pPr>
      <w:r w:rsidRPr="00AA624D">
        <w:rPr>
          <w:rFonts w:ascii="Times New Roman" w:hAnsi="Times New Roman"/>
          <w:sz w:val="24"/>
          <w:szCs w:val="24"/>
        </w:rPr>
        <w:t>тривалості опалювального періоду (176 діб)</w:t>
      </w:r>
    </w:p>
    <w:p w:rsidR="00AA624D" w:rsidRPr="00AA624D" w:rsidRDefault="00AA624D" w:rsidP="00AA624D">
      <w:pPr>
        <w:numPr>
          <w:ilvl w:val="0"/>
          <w:numId w:val="4"/>
        </w:numPr>
        <w:tabs>
          <w:tab w:val="left" w:pos="709"/>
          <w:tab w:val="left" w:pos="9952"/>
          <w:tab w:val="left" w:pos="11788"/>
          <w:tab w:val="left" w:pos="13324"/>
        </w:tabs>
        <w:spacing w:after="0" w:line="240" w:lineRule="auto"/>
        <w:ind w:left="714" w:hanging="357"/>
        <w:jc w:val="both"/>
        <w:rPr>
          <w:rFonts w:ascii="Times New Roman" w:hAnsi="Times New Roman"/>
          <w:color w:val="000000"/>
          <w:sz w:val="24"/>
          <w:szCs w:val="24"/>
          <w:lang w:eastAsia="uk-UA"/>
        </w:rPr>
      </w:pPr>
      <w:r w:rsidRPr="00AA624D">
        <w:rPr>
          <w:rFonts w:ascii="Times New Roman" w:hAnsi="Times New Roman"/>
          <w:color w:val="000000"/>
          <w:sz w:val="24"/>
          <w:szCs w:val="24"/>
          <w:lang w:eastAsia="uk-UA"/>
        </w:rPr>
        <w:t>середньої температури зовнішнього повітря за опалювальний період (-0,1</w:t>
      </w:r>
      <w:r w:rsidRPr="00AA624D">
        <w:rPr>
          <w:rFonts w:ascii="Times New Roman" w:hAnsi="Cambria Math"/>
          <w:color w:val="000000"/>
          <w:sz w:val="24"/>
          <w:szCs w:val="24"/>
          <w:lang w:eastAsia="uk-UA"/>
        </w:rPr>
        <w:t>⁰</w:t>
      </w:r>
      <w:r w:rsidRPr="00AA624D">
        <w:rPr>
          <w:rFonts w:ascii="Times New Roman" w:hAnsi="Times New Roman"/>
          <w:color w:val="000000"/>
          <w:sz w:val="24"/>
          <w:szCs w:val="24"/>
          <w:lang w:eastAsia="uk-UA"/>
        </w:rPr>
        <w:t>С)</w:t>
      </w:r>
    </w:p>
    <w:p w:rsidR="00AA624D" w:rsidRPr="00AA624D" w:rsidRDefault="00AA624D" w:rsidP="00AA624D">
      <w:pPr>
        <w:tabs>
          <w:tab w:val="left" w:pos="709"/>
          <w:tab w:val="left" w:pos="9952"/>
          <w:tab w:val="left" w:pos="11788"/>
          <w:tab w:val="left" w:pos="13324"/>
        </w:tabs>
        <w:spacing w:after="0" w:line="240" w:lineRule="auto"/>
        <w:ind w:left="714"/>
        <w:jc w:val="both"/>
        <w:rPr>
          <w:rFonts w:ascii="Times New Roman" w:hAnsi="Times New Roman"/>
          <w:color w:val="000000"/>
          <w:sz w:val="24"/>
          <w:szCs w:val="24"/>
          <w:lang w:eastAsia="uk-UA"/>
        </w:rPr>
      </w:pPr>
    </w:p>
    <w:p w:rsidR="00AA624D" w:rsidRPr="00AA624D" w:rsidRDefault="00AA624D" w:rsidP="00AA624D">
      <w:pPr>
        <w:tabs>
          <w:tab w:val="left" w:pos="709"/>
          <w:tab w:val="left" w:pos="9952"/>
          <w:tab w:val="left" w:pos="11788"/>
          <w:tab w:val="left" w:pos="13324"/>
        </w:tabs>
        <w:spacing w:after="0" w:line="240" w:lineRule="auto"/>
        <w:ind w:left="714"/>
        <w:jc w:val="both"/>
        <w:rPr>
          <w:rFonts w:ascii="Times New Roman" w:hAnsi="Times New Roman"/>
          <w:color w:val="000000"/>
          <w:sz w:val="24"/>
          <w:szCs w:val="24"/>
          <w:lang w:eastAsia="uk-UA"/>
        </w:rPr>
      </w:pPr>
    </w:p>
    <w:p w:rsidR="00AA624D" w:rsidRPr="00AA624D" w:rsidRDefault="00AA624D" w:rsidP="00AA624D">
      <w:pPr>
        <w:pStyle w:val="1"/>
        <w:numPr>
          <w:ilvl w:val="0"/>
          <w:numId w:val="14"/>
        </w:numPr>
        <w:spacing w:before="120" w:after="120"/>
        <w:jc w:val="center"/>
        <w:rPr>
          <w:rFonts w:ascii="Times New Roman" w:hAnsi="Times New Roman"/>
          <w:sz w:val="24"/>
          <w:szCs w:val="24"/>
        </w:rPr>
      </w:pPr>
      <w:bookmarkStart w:id="1" w:name="_Toc418451098"/>
      <w:r w:rsidRPr="00AA624D">
        <w:rPr>
          <w:rFonts w:ascii="Times New Roman" w:hAnsi="Times New Roman"/>
          <w:sz w:val="24"/>
          <w:szCs w:val="24"/>
        </w:rPr>
        <w:t>Розрахунок планових витрат на виробництво, транспортування, постачання теплової енергії та надання послуг з централізованого опалення.</w:t>
      </w:r>
      <w:bookmarkEnd w:id="1"/>
    </w:p>
    <w:p w:rsidR="00AA624D" w:rsidRPr="00AA624D" w:rsidRDefault="00AA624D" w:rsidP="00AA624D">
      <w:pPr>
        <w:pStyle w:val="a5"/>
        <w:numPr>
          <w:ilvl w:val="0"/>
          <w:numId w:val="9"/>
        </w:numPr>
        <w:rPr>
          <w:rFonts w:ascii="Times New Roman" w:hAnsi="Times New Roman"/>
          <w:b/>
          <w:i/>
          <w:sz w:val="24"/>
          <w:szCs w:val="24"/>
          <w:u w:val="single"/>
        </w:rPr>
      </w:pPr>
      <w:r w:rsidRPr="00AA624D">
        <w:rPr>
          <w:rFonts w:ascii="Times New Roman" w:hAnsi="Times New Roman"/>
          <w:b/>
          <w:i/>
          <w:sz w:val="24"/>
          <w:szCs w:val="24"/>
          <w:u w:val="single"/>
        </w:rPr>
        <w:t>Економічне обґрунтування собівартості теплової енергії:</w:t>
      </w:r>
    </w:p>
    <w:p w:rsidR="00AA624D" w:rsidRPr="00AA624D" w:rsidRDefault="00AA624D" w:rsidP="00AA624D">
      <w:pPr>
        <w:pStyle w:val="a5"/>
        <w:numPr>
          <w:ilvl w:val="0"/>
          <w:numId w:val="10"/>
        </w:numPr>
        <w:spacing w:after="0" w:line="240" w:lineRule="auto"/>
        <w:jc w:val="both"/>
        <w:rPr>
          <w:rFonts w:ascii="Times New Roman" w:hAnsi="Times New Roman"/>
          <w:sz w:val="24"/>
          <w:szCs w:val="24"/>
        </w:rPr>
      </w:pPr>
      <w:r w:rsidRPr="00AA624D">
        <w:rPr>
          <w:rFonts w:ascii="Times New Roman" w:hAnsi="Times New Roman"/>
          <w:b/>
          <w:i/>
          <w:sz w:val="24"/>
          <w:szCs w:val="24"/>
        </w:rPr>
        <w:t xml:space="preserve">Стаття </w:t>
      </w:r>
      <w:proofErr w:type="spellStart"/>
      <w:r w:rsidRPr="00AA624D">
        <w:rPr>
          <w:rFonts w:ascii="Times New Roman" w:hAnsi="Times New Roman"/>
          <w:b/>
          <w:i/>
          <w:sz w:val="24"/>
          <w:szCs w:val="24"/>
        </w:rPr>
        <w:t>„Прямі</w:t>
      </w:r>
      <w:proofErr w:type="spellEnd"/>
      <w:r w:rsidRPr="00AA624D">
        <w:rPr>
          <w:rFonts w:ascii="Times New Roman" w:hAnsi="Times New Roman"/>
          <w:b/>
          <w:i/>
          <w:sz w:val="24"/>
          <w:szCs w:val="24"/>
        </w:rPr>
        <w:t xml:space="preserve"> матеріальні </w:t>
      </w:r>
      <w:proofErr w:type="spellStart"/>
      <w:r w:rsidRPr="00AA624D">
        <w:rPr>
          <w:rFonts w:ascii="Times New Roman" w:hAnsi="Times New Roman"/>
          <w:b/>
          <w:i/>
          <w:sz w:val="24"/>
          <w:szCs w:val="24"/>
        </w:rPr>
        <w:t>витрати”</w:t>
      </w:r>
      <w:proofErr w:type="spellEnd"/>
      <w:r w:rsidRPr="00AA624D">
        <w:rPr>
          <w:rFonts w:ascii="Times New Roman" w:hAnsi="Times New Roman"/>
          <w:b/>
          <w:i/>
          <w:sz w:val="24"/>
          <w:szCs w:val="24"/>
        </w:rPr>
        <w:t xml:space="preserve"> </w:t>
      </w:r>
      <w:r w:rsidRPr="00AA624D">
        <w:rPr>
          <w:rFonts w:ascii="Times New Roman" w:hAnsi="Times New Roman"/>
          <w:sz w:val="24"/>
          <w:szCs w:val="24"/>
        </w:rPr>
        <w:t xml:space="preserve">в розрахунку планових витрат складає 1941,10тис.грн. </w:t>
      </w:r>
    </w:p>
    <w:p w:rsidR="00AA624D" w:rsidRPr="00AA624D" w:rsidRDefault="00AA624D" w:rsidP="00AA624D">
      <w:pPr>
        <w:spacing w:after="0" w:line="240" w:lineRule="auto"/>
        <w:contextualSpacing/>
        <w:jc w:val="both"/>
        <w:rPr>
          <w:rFonts w:ascii="Times New Roman" w:hAnsi="Times New Roman"/>
          <w:sz w:val="24"/>
          <w:szCs w:val="24"/>
        </w:rPr>
      </w:pPr>
      <w:r w:rsidRPr="00AA624D">
        <w:rPr>
          <w:rFonts w:ascii="Times New Roman" w:hAnsi="Times New Roman"/>
          <w:sz w:val="24"/>
          <w:szCs w:val="24"/>
        </w:rPr>
        <w:t>До витрат по статті включені витрати на паливо (газ природний), покупну теплову енергію, електроенергію, витрати на воду та водовідведення, прямі матеріальні витрати.</w:t>
      </w:r>
    </w:p>
    <w:p w:rsidR="00AA624D" w:rsidRPr="00AA624D" w:rsidRDefault="00AA624D" w:rsidP="00AA624D">
      <w:pPr>
        <w:spacing w:after="0" w:line="240" w:lineRule="auto"/>
        <w:ind w:firstLine="539"/>
        <w:contextualSpacing/>
        <w:jc w:val="both"/>
        <w:rPr>
          <w:rFonts w:ascii="Times New Roman" w:hAnsi="Times New Roman"/>
          <w:sz w:val="24"/>
          <w:szCs w:val="24"/>
        </w:rPr>
      </w:pPr>
      <w:r w:rsidRPr="00AA624D">
        <w:rPr>
          <w:rFonts w:ascii="Times New Roman" w:hAnsi="Times New Roman"/>
          <w:sz w:val="24"/>
          <w:szCs w:val="24"/>
        </w:rPr>
        <w:t xml:space="preserve">Плановий обсяг споживання </w:t>
      </w:r>
      <w:r w:rsidRPr="00AA624D">
        <w:rPr>
          <w:rFonts w:ascii="Times New Roman" w:hAnsi="Times New Roman"/>
          <w:b/>
          <w:sz w:val="24"/>
          <w:szCs w:val="24"/>
        </w:rPr>
        <w:t xml:space="preserve">палива та електроенергії </w:t>
      </w:r>
      <w:r w:rsidRPr="00AA624D">
        <w:rPr>
          <w:rFonts w:ascii="Times New Roman" w:hAnsi="Times New Roman"/>
          <w:sz w:val="24"/>
          <w:szCs w:val="24"/>
        </w:rPr>
        <w:t xml:space="preserve">розраховано нормативним методом, норми витрат палива розраховані підприємством самостійно та погоджені Київською міською державною адміністрацією, відповідно до постанови Кабінету Міністрів України від 15.07.1997р. №786 </w:t>
      </w:r>
      <w:proofErr w:type="spellStart"/>
      <w:r w:rsidRPr="00AA624D">
        <w:rPr>
          <w:rFonts w:ascii="Times New Roman" w:hAnsi="Times New Roman"/>
          <w:sz w:val="24"/>
          <w:szCs w:val="24"/>
        </w:rPr>
        <w:t>„Про</w:t>
      </w:r>
      <w:proofErr w:type="spellEnd"/>
      <w:r w:rsidRPr="00AA624D">
        <w:rPr>
          <w:rFonts w:ascii="Times New Roman" w:hAnsi="Times New Roman"/>
          <w:sz w:val="24"/>
          <w:szCs w:val="24"/>
        </w:rPr>
        <w:t xml:space="preserve"> затвердження Загального положення про порядок нормування питомих витрат паливно-енергетичних ресурсів у суспільному </w:t>
      </w:r>
      <w:proofErr w:type="spellStart"/>
      <w:r w:rsidRPr="00AA624D">
        <w:rPr>
          <w:rFonts w:ascii="Times New Roman" w:hAnsi="Times New Roman"/>
          <w:sz w:val="24"/>
          <w:szCs w:val="24"/>
        </w:rPr>
        <w:t>виробництві”</w:t>
      </w:r>
      <w:proofErr w:type="spellEnd"/>
      <w:r w:rsidRPr="00AA624D">
        <w:rPr>
          <w:rFonts w:ascii="Times New Roman" w:hAnsi="Times New Roman"/>
          <w:sz w:val="24"/>
          <w:szCs w:val="24"/>
        </w:rPr>
        <w:t xml:space="preserve"> із змінами і доповненнями, наказу Державного комітету України з енергозбереження від 22.10.2002р. №112 </w:t>
      </w:r>
      <w:proofErr w:type="spellStart"/>
      <w:r w:rsidRPr="00AA624D">
        <w:rPr>
          <w:rFonts w:ascii="Times New Roman" w:hAnsi="Times New Roman"/>
          <w:sz w:val="24"/>
          <w:szCs w:val="24"/>
        </w:rPr>
        <w:t>„Про</w:t>
      </w:r>
      <w:proofErr w:type="spellEnd"/>
      <w:r w:rsidRPr="00AA624D">
        <w:rPr>
          <w:rFonts w:ascii="Times New Roman" w:hAnsi="Times New Roman"/>
          <w:sz w:val="24"/>
          <w:szCs w:val="24"/>
        </w:rPr>
        <w:t xml:space="preserve"> затвердження Основних положень з нормування питомих витрат паливно-енергетичних ресурсів у суспільному виробництві ”, п.14 постанови КМУ від 01.06.2011р. №869.</w:t>
      </w:r>
    </w:p>
    <w:p w:rsidR="00AA624D" w:rsidRPr="00AA624D" w:rsidRDefault="00AA624D" w:rsidP="00AA624D">
      <w:pPr>
        <w:pStyle w:val="2"/>
        <w:numPr>
          <w:ilvl w:val="1"/>
          <w:numId w:val="9"/>
        </w:numPr>
        <w:rPr>
          <w:sz w:val="24"/>
          <w:szCs w:val="24"/>
        </w:rPr>
      </w:pPr>
      <w:bookmarkStart w:id="2" w:name="_Toc418451099"/>
      <w:r w:rsidRPr="00AA624D">
        <w:rPr>
          <w:sz w:val="24"/>
          <w:szCs w:val="24"/>
        </w:rPr>
        <w:t>Стаття витрат «Паливо» та «Покупна теплова енергія»</w:t>
      </w:r>
      <w:bookmarkEnd w:id="2"/>
      <w:r w:rsidRPr="00AA624D">
        <w:rPr>
          <w:sz w:val="24"/>
          <w:szCs w:val="24"/>
        </w:rPr>
        <w:t>.</w:t>
      </w:r>
    </w:p>
    <w:p w:rsidR="00AA624D" w:rsidRPr="00AA624D" w:rsidRDefault="00AA624D" w:rsidP="00AA624D">
      <w:pPr>
        <w:pStyle w:val="a5"/>
        <w:spacing w:after="0" w:line="240" w:lineRule="auto"/>
        <w:ind w:left="0" w:firstLine="720"/>
        <w:jc w:val="both"/>
        <w:rPr>
          <w:rFonts w:ascii="Times New Roman" w:hAnsi="Times New Roman"/>
          <w:sz w:val="24"/>
          <w:szCs w:val="24"/>
        </w:rPr>
      </w:pPr>
      <w:r w:rsidRPr="00AA624D">
        <w:rPr>
          <w:rFonts w:ascii="Times New Roman" w:hAnsi="Times New Roman"/>
          <w:sz w:val="24"/>
          <w:szCs w:val="24"/>
        </w:rPr>
        <w:t xml:space="preserve">Відповідно до п.18 постанови Кабінету Міністрів України від 01.06.2011р. №869 «Про забезпечення єдиного підходу до формування тарифів на житлово-комунальні послуги», витрати на паливо заплановані виходячи з норм питомих витрат паливно-енергетичних ресурсів та цін підприємств-постачальників. </w:t>
      </w:r>
    </w:p>
    <w:p w:rsidR="00AA624D" w:rsidRPr="00AA624D" w:rsidRDefault="00AA624D" w:rsidP="00AA624D">
      <w:pPr>
        <w:pStyle w:val="a5"/>
        <w:spacing w:after="0" w:line="240" w:lineRule="auto"/>
        <w:ind w:left="0" w:firstLine="720"/>
        <w:jc w:val="both"/>
        <w:rPr>
          <w:rFonts w:ascii="Times New Roman" w:hAnsi="Times New Roman"/>
          <w:sz w:val="24"/>
          <w:szCs w:val="24"/>
        </w:rPr>
      </w:pPr>
      <w:r w:rsidRPr="00AA624D">
        <w:rPr>
          <w:rFonts w:ascii="Times New Roman" w:hAnsi="Times New Roman"/>
          <w:b/>
          <w:sz w:val="24"/>
          <w:szCs w:val="24"/>
          <w:u w:val="single"/>
        </w:rPr>
        <w:t xml:space="preserve">Витрати на </w:t>
      </w:r>
      <w:proofErr w:type="spellStart"/>
      <w:r w:rsidRPr="00AA624D">
        <w:rPr>
          <w:rFonts w:ascii="Times New Roman" w:hAnsi="Times New Roman"/>
          <w:b/>
          <w:sz w:val="24"/>
          <w:szCs w:val="24"/>
          <w:u w:val="single"/>
        </w:rPr>
        <w:t>паливо</w:t>
      </w:r>
      <w:r w:rsidRPr="00AA624D">
        <w:rPr>
          <w:rFonts w:ascii="Times New Roman" w:hAnsi="Times New Roman"/>
          <w:sz w:val="24"/>
          <w:szCs w:val="24"/>
        </w:rPr>
        <w:t>складають</w:t>
      </w:r>
      <w:proofErr w:type="spellEnd"/>
      <w:r w:rsidRPr="00AA624D">
        <w:rPr>
          <w:rFonts w:ascii="Times New Roman" w:hAnsi="Times New Roman"/>
          <w:sz w:val="24"/>
          <w:szCs w:val="24"/>
        </w:rPr>
        <w:t xml:space="preserve"> 249,85тис.грн. та розраховані, виходячи з планового обсягу газу 27,82тис.м³, та ціни на газ </w:t>
      </w:r>
      <w:r w:rsidRPr="00AA624D">
        <w:rPr>
          <w:rFonts w:ascii="Times New Roman" w:hAnsi="Times New Roman"/>
          <w:i/>
          <w:sz w:val="24"/>
          <w:szCs w:val="24"/>
        </w:rPr>
        <w:t xml:space="preserve">для інших споживачів </w:t>
      </w:r>
      <w:r w:rsidRPr="00AA624D">
        <w:rPr>
          <w:rFonts w:ascii="Times New Roman" w:hAnsi="Times New Roman"/>
          <w:sz w:val="24"/>
          <w:szCs w:val="24"/>
        </w:rPr>
        <w:t>– 8980,53грн./</w:t>
      </w:r>
      <w:proofErr w:type="spellStart"/>
      <w:r w:rsidRPr="00AA624D">
        <w:rPr>
          <w:rFonts w:ascii="Times New Roman" w:hAnsi="Times New Roman"/>
          <w:sz w:val="24"/>
          <w:szCs w:val="24"/>
        </w:rPr>
        <w:t>тис.м³</w:t>
      </w:r>
      <w:proofErr w:type="spellEnd"/>
      <w:r w:rsidRPr="00AA624D">
        <w:rPr>
          <w:rFonts w:ascii="Times New Roman" w:hAnsi="Times New Roman"/>
          <w:sz w:val="24"/>
          <w:szCs w:val="24"/>
        </w:rPr>
        <w:t xml:space="preserve"> (без ПДВ) з урахуванням тарифів на транспортування та розподіл газу.</w:t>
      </w:r>
    </w:p>
    <w:p w:rsidR="00AA624D" w:rsidRPr="00AA624D" w:rsidRDefault="00AA624D" w:rsidP="00AA624D">
      <w:p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sz w:val="24"/>
          <w:szCs w:val="24"/>
        </w:rPr>
        <w:lastRenderedPageBreak/>
        <w:tab/>
        <w:t>Для розрахунку витрат на паливо (природний газ) використано такі показники:</w:t>
      </w:r>
    </w:p>
    <w:p w:rsidR="00AA624D" w:rsidRPr="00AA624D" w:rsidRDefault="00AA624D" w:rsidP="00AA624D">
      <w:pPr>
        <w:pStyle w:val="a5"/>
        <w:numPr>
          <w:ilvl w:val="0"/>
          <w:numId w:val="11"/>
        </w:numPr>
        <w:spacing w:after="0" w:line="240" w:lineRule="auto"/>
        <w:ind w:left="567" w:hanging="283"/>
        <w:jc w:val="both"/>
        <w:rPr>
          <w:rFonts w:ascii="Times New Roman" w:hAnsi="Times New Roman"/>
          <w:sz w:val="24"/>
          <w:szCs w:val="24"/>
        </w:rPr>
      </w:pPr>
      <w:r w:rsidRPr="00AA624D">
        <w:rPr>
          <w:rFonts w:ascii="Times New Roman" w:hAnsi="Times New Roman"/>
          <w:b/>
          <w:sz w:val="24"/>
          <w:szCs w:val="24"/>
        </w:rPr>
        <w:t xml:space="preserve">Обсяг відпуску теплової енергії з </w:t>
      </w:r>
      <w:proofErr w:type="spellStart"/>
      <w:r w:rsidRPr="00AA624D">
        <w:rPr>
          <w:rFonts w:ascii="Times New Roman" w:hAnsi="Times New Roman"/>
          <w:b/>
          <w:sz w:val="24"/>
          <w:szCs w:val="24"/>
        </w:rPr>
        <w:t>котельні–</w:t>
      </w:r>
      <w:proofErr w:type="spellEnd"/>
      <w:r w:rsidRPr="00AA624D">
        <w:rPr>
          <w:rFonts w:ascii="Times New Roman" w:hAnsi="Times New Roman"/>
          <w:b/>
          <w:sz w:val="24"/>
          <w:szCs w:val="24"/>
        </w:rPr>
        <w:t xml:space="preserve"> 209,11Гкал</w:t>
      </w:r>
      <w:r w:rsidRPr="00AA624D">
        <w:rPr>
          <w:rFonts w:ascii="Times New Roman" w:hAnsi="Times New Roman"/>
          <w:sz w:val="24"/>
          <w:szCs w:val="24"/>
        </w:rPr>
        <w:t xml:space="preserve"> відповідно до річного плану виробництва.</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proofErr w:type="spellStart"/>
      <w:r w:rsidRPr="00AA624D">
        <w:rPr>
          <w:rFonts w:ascii="Times New Roman" w:hAnsi="Times New Roman"/>
          <w:b/>
          <w:sz w:val="24"/>
          <w:szCs w:val="24"/>
        </w:rPr>
        <w:t>Питоманорма</w:t>
      </w:r>
      <w:proofErr w:type="spellEnd"/>
      <w:r w:rsidRPr="00AA624D">
        <w:rPr>
          <w:rFonts w:ascii="Times New Roman" w:hAnsi="Times New Roman"/>
          <w:b/>
          <w:sz w:val="24"/>
          <w:szCs w:val="24"/>
        </w:rPr>
        <w:t xml:space="preserve"> витрат умовного палива</w:t>
      </w:r>
      <w:r w:rsidRPr="00AA624D">
        <w:rPr>
          <w:rFonts w:ascii="Times New Roman" w:hAnsi="Times New Roman"/>
          <w:sz w:val="24"/>
          <w:szCs w:val="24"/>
        </w:rPr>
        <w:t xml:space="preserve"> – 161,98кг.у.п./</w:t>
      </w:r>
      <w:proofErr w:type="spellStart"/>
      <w:r w:rsidRPr="00AA624D">
        <w:rPr>
          <w:rFonts w:ascii="Times New Roman" w:hAnsi="Times New Roman"/>
          <w:sz w:val="24"/>
          <w:szCs w:val="24"/>
        </w:rPr>
        <w:t>Гкал</w:t>
      </w:r>
      <w:proofErr w:type="spellEnd"/>
      <w:r w:rsidRPr="00AA624D">
        <w:rPr>
          <w:rFonts w:ascii="Times New Roman" w:hAnsi="Times New Roman"/>
          <w:sz w:val="24"/>
          <w:szCs w:val="24"/>
        </w:rPr>
        <w:t xml:space="preserve">, погоджена Департаментом житлово-комунальної інфраструктури КМДА згідно Наказу Державного комітету України з енергозбереження «Про затвердження Основних положень з нормування питомих витрат паливно-енергетичних ресурсів у суспільному виробництві» від               22.10.2002р. N112. Розрахунок питомої норми витрат умовного палива здійснено на підставі Наказу Державного комітету України з енергозбереження від 07.05.2001р. N46 «Міжгалузеві норми витрат палива для опалювальних котлів, які експлуатуються в Україні </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b/>
          <w:sz w:val="24"/>
          <w:szCs w:val="24"/>
        </w:rPr>
        <w:t>Тепловий коефіцієнт переводу натурального палива в умовне</w:t>
      </w:r>
      <w:r w:rsidRPr="00AA624D">
        <w:rPr>
          <w:rFonts w:ascii="Times New Roman" w:hAnsi="Times New Roman"/>
          <w:sz w:val="24"/>
          <w:szCs w:val="24"/>
        </w:rPr>
        <w:t xml:space="preserve"> складає 1,2829.  (8525,07кКал/м3 /7000кКАл/м3). </w:t>
      </w:r>
    </w:p>
    <w:p w:rsidR="00AA624D" w:rsidRPr="00AA624D" w:rsidRDefault="00AA624D" w:rsidP="00AA624D">
      <w:pPr>
        <w:tabs>
          <w:tab w:val="left" w:pos="709"/>
          <w:tab w:val="left" w:pos="9952"/>
          <w:tab w:val="left" w:pos="11788"/>
          <w:tab w:val="left" w:pos="13324"/>
        </w:tabs>
        <w:spacing w:after="0" w:line="240" w:lineRule="auto"/>
        <w:ind w:left="644"/>
        <w:jc w:val="both"/>
        <w:rPr>
          <w:rFonts w:ascii="Times New Roman" w:hAnsi="Times New Roman"/>
          <w:sz w:val="24"/>
          <w:szCs w:val="24"/>
        </w:rPr>
      </w:pPr>
      <w:r w:rsidRPr="00AA624D">
        <w:rPr>
          <w:rFonts w:ascii="Times New Roman" w:hAnsi="Times New Roman"/>
          <w:sz w:val="24"/>
          <w:szCs w:val="24"/>
        </w:rPr>
        <w:t xml:space="preserve">Калорійність газу – 8525,07 ккал/м3визначено на </w:t>
      </w:r>
      <w:proofErr w:type="spellStart"/>
      <w:r w:rsidRPr="00AA624D">
        <w:rPr>
          <w:rFonts w:ascii="Times New Roman" w:hAnsi="Times New Roman"/>
          <w:sz w:val="24"/>
          <w:szCs w:val="24"/>
        </w:rPr>
        <w:t>підставіПротоколів</w:t>
      </w:r>
      <w:proofErr w:type="spellEnd"/>
      <w:r w:rsidRPr="00AA624D">
        <w:rPr>
          <w:rFonts w:ascii="Times New Roman" w:hAnsi="Times New Roman"/>
          <w:sz w:val="24"/>
          <w:szCs w:val="24"/>
        </w:rPr>
        <w:t xml:space="preserve"> якості газу на </w:t>
      </w:r>
      <w:proofErr w:type="spellStart"/>
      <w:r w:rsidRPr="00AA624D">
        <w:rPr>
          <w:rFonts w:ascii="Times New Roman" w:hAnsi="Times New Roman"/>
          <w:sz w:val="24"/>
          <w:szCs w:val="24"/>
        </w:rPr>
        <w:t>ГРС-Хотів</w:t>
      </w:r>
      <w:proofErr w:type="spellEnd"/>
      <w:r w:rsidRPr="00AA624D">
        <w:rPr>
          <w:rFonts w:ascii="Times New Roman" w:hAnsi="Times New Roman"/>
          <w:sz w:val="24"/>
          <w:szCs w:val="24"/>
        </w:rPr>
        <w:t xml:space="preserve"> з 1березня 2016 року по 01березня 2017 року.</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b/>
          <w:sz w:val="24"/>
          <w:szCs w:val="24"/>
        </w:rPr>
        <w:t>Повна ціна природного газу для  інших споживачів – 8768,63без ПДВ (</w:t>
      </w:r>
      <w:r w:rsidRPr="00AA624D">
        <w:rPr>
          <w:rFonts w:ascii="Times New Roman" w:hAnsi="Times New Roman"/>
          <w:sz w:val="24"/>
          <w:szCs w:val="24"/>
        </w:rPr>
        <w:t xml:space="preserve">згідно </w:t>
      </w:r>
      <w:proofErr w:type="spellStart"/>
      <w:r w:rsidRPr="00AA624D">
        <w:rPr>
          <w:rFonts w:ascii="Times New Roman" w:hAnsi="Times New Roman"/>
          <w:sz w:val="24"/>
          <w:szCs w:val="24"/>
        </w:rPr>
        <w:t>Прейскурантуна</w:t>
      </w:r>
      <w:proofErr w:type="spellEnd"/>
      <w:r w:rsidRPr="00AA624D">
        <w:rPr>
          <w:rFonts w:ascii="Times New Roman" w:hAnsi="Times New Roman"/>
          <w:sz w:val="24"/>
          <w:szCs w:val="24"/>
        </w:rPr>
        <w:t xml:space="preserve"> природний газ з 01.03.2017р. на офіційному сайті </w:t>
      </w:r>
      <w:proofErr w:type="spellStart"/>
      <w:r w:rsidRPr="00AA624D">
        <w:rPr>
          <w:rFonts w:ascii="Times New Roman" w:hAnsi="Times New Roman"/>
          <w:sz w:val="24"/>
          <w:szCs w:val="24"/>
        </w:rPr>
        <w:t>ДП</w:t>
      </w:r>
      <w:proofErr w:type="spellEnd"/>
      <w:r w:rsidRPr="00AA624D">
        <w:rPr>
          <w:rFonts w:ascii="Times New Roman" w:hAnsi="Times New Roman"/>
          <w:sz w:val="24"/>
          <w:szCs w:val="24"/>
        </w:rPr>
        <w:t xml:space="preserve"> «</w:t>
      </w:r>
      <w:proofErr w:type="spellStart"/>
      <w:r w:rsidRPr="00AA624D">
        <w:rPr>
          <w:rFonts w:ascii="Times New Roman" w:hAnsi="Times New Roman"/>
          <w:sz w:val="24"/>
          <w:szCs w:val="24"/>
        </w:rPr>
        <w:t>КиївГазЕнерджі</w:t>
      </w:r>
      <w:proofErr w:type="spellEnd"/>
      <w:r w:rsidRPr="00AA624D">
        <w:rPr>
          <w:rFonts w:ascii="Times New Roman" w:hAnsi="Times New Roman"/>
          <w:sz w:val="24"/>
          <w:szCs w:val="24"/>
        </w:rPr>
        <w:t xml:space="preserve">» та постанови НКРЕКП, Договору №241638/В від 01.01.2017 з </w:t>
      </w:r>
      <w:proofErr w:type="spellStart"/>
      <w:r w:rsidRPr="00AA624D">
        <w:rPr>
          <w:rFonts w:ascii="Times New Roman" w:hAnsi="Times New Roman"/>
          <w:sz w:val="24"/>
          <w:szCs w:val="24"/>
        </w:rPr>
        <w:t>ДП</w:t>
      </w:r>
      <w:proofErr w:type="spellEnd"/>
      <w:r w:rsidRPr="00AA624D">
        <w:rPr>
          <w:rFonts w:ascii="Times New Roman" w:hAnsi="Times New Roman"/>
          <w:sz w:val="24"/>
          <w:szCs w:val="24"/>
        </w:rPr>
        <w:t xml:space="preserve"> «</w:t>
      </w:r>
      <w:proofErr w:type="spellStart"/>
      <w:r w:rsidRPr="00AA624D">
        <w:rPr>
          <w:rFonts w:ascii="Times New Roman" w:hAnsi="Times New Roman"/>
          <w:sz w:val="24"/>
          <w:szCs w:val="24"/>
        </w:rPr>
        <w:t>КиївГазЕнерджі</w:t>
      </w:r>
      <w:proofErr w:type="spellEnd"/>
      <w:r w:rsidRPr="00AA624D">
        <w:rPr>
          <w:rFonts w:ascii="Times New Roman" w:hAnsi="Times New Roman"/>
          <w:sz w:val="24"/>
          <w:szCs w:val="24"/>
        </w:rPr>
        <w:t>»),</w:t>
      </w:r>
      <w:r w:rsidRPr="00AA624D">
        <w:rPr>
          <w:rFonts w:ascii="Times New Roman" w:hAnsi="Times New Roman"/>
          <w:b/>
          <w:sz w:val="24"/>
          <w:szCs w:val="24"/>
        </w:rPr>
        <w:t>у тому числі:</w:t>
      </w:r>
    </w:p>
    <w:p w:rsidR="00AA624D" w:rsidRPr="00AA624D" w:rsidRDefault="00AA624D" w:rsidP="00AA624D">
      <w:pPr>
        <w:numPr>
          <w:ilvl w:val="0"/>
          <w:numId w:val="7"/>
        </w:numPr>
        <w:spacing w:after="0" w:line="240" w:lineRule="auto"/>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ціна газу для промислових та інших споживачів - 8247,83грн. /тис.м.</w:t>
      </w:r>
      <w:r w:rsidRPr="00AA624D">
        <w:rPr>
          <w:rFonts w:ascii="Times New Roman" w:eastAsia="Times New Roman" w:hAnsi="Times New Roman"/>
          <w:sz w:val="24"/>
          <w:szCs w:val="24"/>
          <w:vertAlign w:val="superscript"/>
          <w:lang w:eastAsia="uk-UA"/>
        </w:rPr>
        <w:t>3</w:t>
      </w:r>
    </w:p>
    <w:p w:rsidR="00AA624D" w:rsidRPr="00AA624D" w:rsidRDefault="00AA624D" w:rsidP="00AA624D">
      <w:pPr>
        <w:numPr>
          <w:ilvl w:val="0"/>
          <w:numId w:val="7"/>
        </w:numPr>
        <w:spacing w:after="0" w:line="240" w:lineRule="auto"/>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 xml:space="preserve">тариф на транспортування магістральними </w:t>
      </w:r>
      <w:proofErr w:type="spellStart"/>
      <w:r w:rsidRPr="00AA624D">
        <w:rPr>
          <w:rFonts w:ascii="Times New Roman" w:eastAsia="Times New Roman" w:hAnsi="Times New Roman"/>
          <w:sz w:val="24"/>
          <w:szCs w:val="24"/>
          <w:lang w:eastAsia="uk-UA"/>
        </w:rPr>
        <w:t>трубопровадами</w:t>
      </w:r>
      <w:proofErr w:type="spellEnd"/>
      <w:r w:rsidRPr="00AA624D">
        <w:rPr>
          <w:rFonts w:ascii="Times New Roman" w:eastAsia="Times New Roman" w:hAnsi="Times New Roman"/>
          <w:sz w:val="24"/>
          <w:szCs w:val="24"/>
          <w:lang w:eastAsia="uk-UA"/>
        </w:rPr>
        <w:tab/>
        <w:t>- 520,80грн. /тис.м.</w:t>
      </w:r>
      <w:r w:rsidRPr="00AA624D">
        <w:rPr>
          <w:rFonts w:ascii="Times New Roman" w:eastAsia="Times New Roman" w:hAnsi="Times New Roman"/>
          <w:sz w:val="24"/>
          <w:szCs w:val="24"/>
          <w:vertAlign w:val="superscript"/>
          <w:lang w:eastAsia="uk-UA"/>
        </w:rPr>
        <w:t>3</w:t>
      </w:r>
    </w:p>
    <w:p w:rsidR="00AA624D" w:rsidRPr="00AA624D" w:rsidRDefault="00AA624D" w:rsidP="00AA624D">
      <w:pPr>
        <w:numPr>
          <w:ilvl w:val="0"/>
          <w:numId w:val="7"/>
        </w:numPr>
        <w:spacing w:after="0" w:line="240" w:lineRule="auto"/>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 xml:space="preserve">тариф на послуги розподілу природного </w:t>
      </w:r>
      <w:proofErr w:type="spellStart"/>
      <w:r w:rsidRPr="00AA624D">
        <w:rPr>
          <w:rFonts w:ascii="Times New Roman" w:eastAsia="Times New Roman" w:hAnsi="Times New Roman"/>
          <w:sz w:val="24"/>
          <w:szCs w:val="24"/>
          <w:lang w:eastAsia="uk-UA"/>
        </w:rPr>
        <w:t>газу-</w:t>
      </w:r>
      <w:proofErr w:type="spellEnd"/>
      <w:r w:rsidRPr="00AA624D">
        <w:rPr>
          <w:rFonts w:ascii="Times New Roman" w:eastAsia="Times New Roman" w:hAnsi="Times New Roman"/>
          <w:sz w:val="24"/>
          <w:szCs w:val="24"/>
          <w:lang w:eastAsia="uk-UA"/>
        </w:rPr>
        <w:t xml:space="preserve"> 211,90 грн./тис.м.</w:t>
      </w:r>
      <w:r w:rsidRPr="00AA624D">
        <w:rPr>
          <w:rFonts w:ascii="Times New Roman" w:eastAsia="Times New Roman" w:hAnsi="Times New Roman"/>
          <w:sz w:val="24"/>
          <w:szCs w:val="24"/>
          <w:vertAlign w:val="superscript"/>
          <w:lang w:eastAsia="uk-UA"/>
        </w:rPr>
        <w:t>3</w:t>
      </w:r>
      <w:r w:rsidRPr="00AA624D">
        <w:rPr>
          <w:rFonts w:ascii="Times New Roman" w:eastAsia="Times New Roman" w:hAnsi="Times New Roman"/>
          <w:sz w:val="24"/>
          <w:szCs w:val="24"/>
          <w:lang w:eastAsia="uk-UA"/>
        </w:rPr>
        <w:t xml:space="preserve"> (Договір №241638 від 31.03.2016р. з ПАТ «</w:t>
      </w:r>
      <w:proofErr w:type="spellStart"/>
      <w:r w:rsidRPr="00AA624D">
        <w:rPr>
          <w:rFonts w:ascii="Times New Roman" w:eastAsia="Times New Roman" w:hAnsi="Times New Roman"/>
          <w:sz w:val="24"/>
          <w:szCs w:val="24"/>
          <w:lang w:eastAsia="uk-UA"/>
        </w:rPr>
        <w:t>Київгаз</w:t>
      </w:r>
      <w:proofErr w:type="spellEnd"/>
      <w:r w:rsidRPr="00AA624D">
        <w:rPr>
          <w:rFonts w:ascii="Times New Roman" w:eastAsia="Times New Roman" w:hAnsi="Times New Roman"/>
          <w:sz w:val="24"/>
          <w:szCs w:val="24"/>
          <w:lang w:eastAsia="uk-UA"/>
        </w:rPr>
        <w:t>».)</w:t>
      </w:r>
    </w:p>
    <w:p w:rsidR="00AA624D" w:rsidRPr="00AA624D" w:rsidRDefault="00AA624D" w:rsidP="00AA624D">
      <w:pPr>
        <w:spacing w:after="0" w:line="240" w:lineRule="auto"/>
        <w:ind w:left="720"/>
        <w:rPr>
          <w:rFonts w:ascii="Times New Roman" w:eastAsia="Times New Roman" w:hAnsi="Times New Roman"/>
          <w:sz w:val="24"/>
          <w:szCs w:val="24"/>
          <w:lang w:eastAsia="uk-UA"/>
        </w:rPr>
      </w:pPr>
    </w:p>
    <w:p w:rsidR="00AA624D" w:rsidRPr="00AA624D" w:rsidRDefault="00AA624D" w:rsidP="00AA624D">
      <w:pPr>
        <w:pStyle w:val="a5"/>
        <w:spacing w:after="0" w:line="240" w:lineRule="auto"/>
        <w:ind w:left="0" w:firstLine="720"/>
        <w:jc w:val="both"/>
        <w:rPr>
          <w:rFonts w:ascii="Times New Roman" w:eastAsia="Times New Roman" w:hAnsi="Times New Roman"/>
          <w:color w:val="000000"/>
          <w:sz w:val="24"/>
          <w:szCs w:val="24"/>
          <w:lang w:eastAsia="uk-UA"/>
        </w:rPr>
      </w:pPr>
      <w:r w:rsidRPr="00AA624D">
        <w:rPr>
          <w:rFonts w:ascii="Times New Roman" w:eastAsia="Times New Roman" w:hAnsi="Times New Roman"/>
          <w:b/>
          <w:color w:val="000000"/>
          <w:sz w:val="24"/>
          <w:szCs w:val="24"/>
          <w:u w:val="single"/>
          <w:lang w:eastAsia="uk-UA"/>
        </w:rPr>
        <w:t>Витрати на придбання теплової енергії</w:t>
      </w:r>
      <w:r w:rsidRPr="00AA624D">
        <w:rPr>
          <w:rFonts w:ascii="Times New Roman" w:eastAsia="Times New Roman" w:hAnsi="Times New Roman"/>
          <w:color w:val="000000"/>
          <w:sz w:val="24"/>
          <w:szCs w:val="24"/>
          <w:lang w:eastAsia="uk-UA"/>
        </w:rPr>
        <w:t xml:space="preserve"> в інших суб'єктів господарювання складають 1470,17тис.грн. і сплановані відповідно до укладених договорів виходячи з необхідного обсягу покупної теплової енергії, передбаченого річним планом виробництва, транспортування та постачання теплової енергії, і діючих цін підприємств-постачальників.</w:t>
      </w:r>
    </w:p>
    <w:p w:rsidR="00AA624D" w:rsidRPr="00AA624D" w:rsidRDefault="00AA624D" w:rsidP="00AA624D">
      <w:pPr>
        <w:tabs>
          <w:tab w:val="left" w:pos="709"/>
          <w:tab w:val="left" w:pos="9952"/>
          <w:tab w:val="left" w:pos="11788"/>
          <w:tab w:val="left" w:pos="13324"/>
        </w:tabs>
        <w:spacing w:before="120" w:after="120" w:line="240" w:lineRule="auto"/>
        <w:jc w:val="both"/>
        <w:rPr>
          <w:rFonts w:ascii="Times New Roman" w:hAnsi="Times New Roman"/>
          <w:sz w:val="24"/>
          <w:szCs w:val="24"/>
        </w:rPr>
      </w:pPr>
      <w:r w:rsidRPr="00AA624D">
        <w:rPr>
          <w:rFonts w:ascii="Times New Roman" w:hAnsi="Times New Roman"/>
          <w:sz w:val="24"/>
          <w:szCs w:val="24"/>
        </w:rPr>
        <w:t>Для розрахунку витрат на придбання теплової енергії такі показники:</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b/>
          <w:sz w:val="24"/>
          <w:szCs w:val="24"/>
        </w:rPr>
        <w:t>Обсяг покупної теплової енергії – 1034,87Гкал</w:t>
      </w:r>
      <w:r w:rsidRPr="00AA624D">
        <w:rPr>
          <w:rFonts w:ascii="Times New Roman" w:hAnsi="Times New Roman"/>
          <w:sz w:val="24"/>
          <w:szCs w:val="24"/>
        </w:rPr>
        <w:t xml:space="preserve"> відповідно до річного плану виробництва, транспортування, постачання теплової енергії ТОВ «CЕРВІС НА САКСАГАНСЬКОГО». У</w:t>
      </w:r>
    </w:p>
    <w:p w:rsidR="00AA624D" w:rsidRPr="00AA624D" w:rsidRDefault="00AA624D" w:rsidP="00AA624D">
      <w:pPr>
        <w:tabs>
          <w:tab w:val="left" w:pos="709"/>
          <w:tab w:val="left" w:pos="9952"/>
          <w:tab w:val="left" w:pos="11788"/>
          <w:tab w:val="left" w:pos="13324"/>
        </w:tabs>
        <w:spacing w:after="0" w:line="240" w:lineRule="auto"/>
        <w:ind w:left="284"/>
        <w:jc w:val="both"/>
        <w:rPr>
          <w:rFonts w:ascii="Times New Roman" w:hAnsi="Times New Roman"/>
          <w:sz w:val="24"/>
          <w:szCs w:val="24"/>
        </w:rPr>
      </w:pPr>
      <w:r w:rsidRPr="00AA624D">
        <w:rPr>
          <w:rFonts w:ascii="Times New Roman" w:hAnsi="Times New Roman"/>
          <w:b/>
          <w:sz w:val="24"/>
          <w:szCs w:val="24"/>
        </w:rPr>
        <w:t>У</w:t>
      </w:r>
      <w:r w:rsidRPr="00AA624D">
        <w:rPr>
          <w:rFonts w:ascii="Times New Roman" w:hAnsi="Times New Roman"/>
          <w:sz w:val="24"/>
          <w:szCs w:val="24"/>
        </w:rPr>
        <w:t xml:space="preserve"> тому числі для потреб:</w:t>
      </w:r>
    </w:p>
    <w:p w:rsidR="00AA624D" w:rsidRPr="00AA624D" w:rsidRDefault="00AA624D" w:rsidP="00AA624D">
      <w:pPr>
        <w:pStyle w:val="a5"/>
        <w:numPr>
          <w:ilvl w:val="0"/>
          <w:numId w:val="5"/>
        </w:numPr>
        <w:spacing w:after="0" w:line="240" w:lineRule="auto"/>
        <w:jc w:val="both"/>
        <w:rPr>
          <w:rFonts w:ascii="Times New Roman" w:hAnsi="Times New Roman"/>
          <w:b/>
          <w:sz w:val="24"/>
          <w:szCs w:val="24"/>
        </w:rPr>
      </w:pPr>
      <w:r w:rsidRPr="00AA624D">
        <w:rPr>
          <w:rFonts w:ascii="Times New Roman" w:hAnsi="Times New Roman"/>
          <w:sz w:val="24"/>
          <w:szCs w:val="24"/>
        </w:rPr>
        <w:t xml:space="preserve">населення – </w:t>
      </w:r>
      <w:r w:rsidRPr="00AA624D">
        <w:rPr>
          <w:rFonts w:ascii="Times New Roman" w:hAnsi="Times New Roman"/>
          <w:b/>
          <w:sz w:val="24"/>
          <w:szCs w:val="24"/>
          <w:lang w:val="ru-RU"/>
        </w:rPr>
        <w:t>256,28Гкал</w:t>
      </w:r>
    </w:p>
    <w:p w:rsidR="00AA624D" w:rsidRPr="00AA624D" w:rsidRDefault="00AA624D" w:rsidP="00AA624D">
      <w:pPr>
        <w:pStyle w:val="a5"/>
        <w:numPr>
          <w:ilvl w:val="0"/>
          <w:numId w:val="5"/>
        </w:numPr>
        <w:spacing w:after="0" w:line="240" w:lineRule="auto"/>
        <w:jc w:val="both"/>
        <w:rPr>
          <w:rFonts w:ascii="Times New Roman" w:hAnsi="Times New Roman"/>
          <w:sz w:val="24"/>
          <w:szCs w:val="24"/>
        </w:rPr>
      </w:pPr>
      <w:r w:rsidRPr="00AA624D">
        <w:rPr>
          <w:rFonts w:ascii="Times New Roman" w:hAnsi="Times New Roman"/>
          <w:sz w:val="24"/>
          <w:szCs w:val="24"/>
        </w:rPr>
        <w:t>інших споживачів –</w:t>
      </w:r>
      <w:r w:rsidRPr="00AA624D">
        <w:rPr>
          <w:rFonts w:ascii="Times New Roman" w:hAnsi="Times New Roman"/>
          <w:b/>
          <w:sz w:val="24"/>
          <w:szCs w:val="24"/>
          <w:lang w:val="ru-RU"/>
        </w:rPr>
        <w:t>778,59Гкал</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b/>
          <w:sz w:val="24"/>
          <w:szCs w:val="24"/>
        </w:rPr>
        <w:t>Тариф на теплову енергію ПАТ «</w:t>
      </w:r>
      <w:proofErr w:type="spellStart"/>
      <w:r w:rsidRPr="00AA624D">
        <w:rPr>
          <w:rFonts w:ascii="Times New Roman" w:hAnsi="Times New Roman"/>
          <w:b/>
          <w:sz w:val="24"/>
          <w:szCs w:val="24"/>
        </w:rPr>
        <w:t>Київенерго</w:t>
      </w:r>
      <w:proofErr w:type="spellEnd"/>
      <w:r w:rsidRPr="00AA624D">
        <w:rPr>
          <w:rFonts w:ascii="Times New Roman" w:hAnsi="Times New Roman"/>
          <w:b/>
          <w:sz w:val="24"/>
          <w:szCs w:val="24"/>
        </w:rPr>
        <w:t xml:space="preserve">» для потреб населення </w:t>
      </w:r>
      <w:r w:rsidRPr="00AA624D">
        <w:rPr>
          <w:rFonts w:ascii="Times New Roman" w:hAnsi="Times New Roman"/>
          <w:sz w:val="24"/>
          <w:szCs w:val="24"/>
        </w:rPr>
        <w:t>згідно Постанови НКРЕКП №972 від 09.06.2016 р</w:t>
      </w:r>
      <w:r w:rsidRPr="00AA624D">
        <w:rPr>
          <w:rFonts w:ascii="Times New Roman" w:hAnsi="Times New Roman"/>
          <w:b/>
          <w:sz w:val="24"/>
          <w:szCs w:val="24"/>
        </w:rPr>
        <w:t xml:space="preserve"> розмірі 1153,80</w:t>
      </w:r>
      <w:r w:rsidRPr="00AA624D">
        <w:rPr>
          <w:rFonts w:ascii="Times New Roman" w:hAnsi="Times New Roman"/>
          <w:sz w:val="24"/>
          <w:szCs w:val="24"/>
        </w:rPr>
        <w:t xml:space="preserve">грн/ </w:t>
      </w:r>
      <w:proofErr w:type="spellStart"/>
      <w:r w:rsidRPr="00AA624D">
        <w:rPr>
          <w:rFonts w:ascii="Times New Roman" w:hAnsi="Times New Roman"/>
          <w:sz w:val="24"/>
          <w:szCs w:val="24"/>
        </w:rPr>
        <w:t>Гкал</w:t>
      </w:r>
      <w:proofErr w:type="spellEnd"/>
      <w:r w:rsidRPr="00AA624D">
        <w:rPr>
          <w:rFonts w:ascii="Times New Roman" w:hAnsi="Times New Roman"/>
          <w:sz w:val="24"/>
          <w:szCs w:val="24"/>
        </w:rPr>
        <w:t>(без ПДВ).</w:t>
      </w:r>
    </w:p>
    <w:p w:rsidR="00AA624D" w:rsidRPr="00AA624D" w:rsidRDefault="00AA624D" w:rsidP="00AA624D">
      <w:pPr>
        <w:tabs>
          <w:tab w:val="left" w:pos="709"/>
          <w:tab w:val="left" w:pos="9952"/>
          <w:tab w:val="left" w:pos="11788"/>
          <w:tab w:val="left" w:pos="13324"/>
        </w:tabs>
        <w:spacing w:after="0" w:line="240" w:lineRule="auto"/>
        <w:ind w:left="644"/>
        <w:jc w:val="both"/>
        <w:rPr>
          <w:rFonts w:ascii="Times New Roman" w:hAnsi="Times New Roman"/>
          <w:sz w:val="24"/>
          <w:szCs w:val="24"/>
        </w:rPr>
      </w:pPr>
      <w:r w:rsidRPr="00AA624D">
        <w:rPr>
          <w:rFonts w:ascii="Times New Roman" w:hAnsi="Times New Roman"/>
          <w:sz w:val="24"/>
          <w:szCs w:val="24"/>
        </w:rPr>
        <w:t>Договір №1533294 від 22.01.2013р. з ПАТ «</w:t>
      </w:r>
      <w:proofErr w:type="spellStart"/>
      <w:r w:rsidRPr="00AA624D">
        <w:rPr>
          <w:rFonts w:ascii="Times New Roman" w:hAnsi="Times New Roman"/>
          <w:sz w:val="24"/>
          <w:szCs w:val="24"/>
        </w:rPr>
        <w:t>Київенерго</w:t>
      </w:r>
      <w:proofErr w:type="spellEnd"/>
      <w:r w:rsidRPr="00AA624D">
        <w:rPr>
          <w:rFonts w:ascii="Times New Roman" w:hAnsi="Times New Roman"/>
          <w:sz w:val="24"/>
          <w:szCs w:val="24"/>
        </w:rPr>
        <w:t>»</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eastAsia="Times New Roman" w:hAnsi="Times New Roman"/>
          <w:sz w:val="24"/>
          <w:szCs w:val="24"/>
          <w:lang w:eastAsia="uk-UA"/>
        </w:rPr>
      </w:pPr>
      <w:r w:rsidRPr="00AA624D">
        <w:rPr>
          <w:rFonts w:ascii="Times New Roman" w:hAnsi="Times New Roman"/>
          <w:b/>
          <w:sz w:val="24"/>
          <w:szCs w:val="24"/>
        </w:rPr>
        <w:t>Тариф на теплову енергію ПАТ «</w:t>
      </w:r>
      <w:proofErr w:type="spellStart"/>
      <w:r w:rsidRPr="00AA624D">
        <w:rPr>
          <w:rFonts w:ascii="Times New Roman" w:hAnsi="Times New Roman"/>
          <w:b/>
          <w:sz w:val="24"/>
          <w:szCs w:val="24"/>
        </w:rPr>
        <w:t>Київенерго</w:t>
      </w:r>
      <w:proofErr w:type="spellEnd"/>
      <w:r w:rsidRPr="00AA624D">
        <w:rPr>
          <w:rFonts w:ascii="Times New Roman" w:hAnsi="Times New Roman"/>
          <w:b/>
          <w:sz w:val="24"/>
          <w:szCs w:val="24"/>
        </w:rPr>
        <w:t>» для інших споживачів</w:t>
      </w:r>
      <w:r w:rsidRPr="00AA624D">
        <w:rPr>
          <w:rFonts w:ascii="Times New Roman" w:hAnsi="Times New Roman"/>
          <w:sz w:val="24"/>
          <w:szCs w:val="24"/>
        </w:rPr>
        <w:t xml:space="preserve"> згідно Постанова НКРЕКП  №151 від 01.02.2017р. в розмірі 1508,47 </w:t>
      </w:r>
      <w:proofErr w:type="spellStart"/>
      <w:r w:rsidRPr="00AA624D">
        <w:rPr>
          <w:rFonts w:ascii="Times New Roman" w:hAnsi="Times New Roman"/>
          <w:sz w:val="24"/>
          <w:szCs w:val="24"/>
        </w:rPr>
        <w:t>грн</w:t>
      </w:r>
      <w:proofErr w:type="spellEnd"/>
      <w:r w:rsidRPr="00AA624D">
        <w:rPr>
          <w:rFonts w:ascii="Times New Roman" w:hAnsi="Times New Roman"/>
          <w:sz w:val="24"/>
          <w:szCs w:val="24"/>
        </w:rPr>
        <w:t>/</w:t>
      </w:r>
      <w:proofErr w:type="spellStart"/>
      <w:r w:rsidRPr="00AA624D">
        <w:rPr>
          <w:rFonts w:ascii="Times New Roman" w:hAnsi="Times New Roman"/>
          <w:sz w:val="24"/>
          <w:szCs w:val="24"/>
        </w:rPr>
        <w:t>Гкал</w:t>
      </w:r>
      <w:proofErr w:type="spellEnd"/>
      <w:r w:rsidRPr="00AA624D">
        <w:rPr>
          <w:rFonts w:ascii="Times New Roman" w:hAnsi="Times New Roman"/>
          <w:sz w:val="24"/>
          <w:szCs w:val="24"/>
        </w:rPr>
        <w:t>(без ПДВ).</w:t>
      </w:r>
    </w:p>
    <w:p w:rsidR="00AA624D" w:rsidRPr="00AA624D" w:rsidRDefault="00AA624D" w:rsidP="00AA624D">
      <w:pPr>
        <w:pStyle w:val="a5"/>
        <w:tabs>
          <w:tab w:val="left" w:pos="709"/>
          <w:tab w:val="left" w:pos="9952"/>
          <w:tab w:val="left" w:pos="11788"/>
          <w:tab w:val="left" w:pos="13324"/>
        </w:tabs>
        <w:spacing w:after="0" w:line="240" w:lineRule="auto"/>
        <w:ind w:left="644"/>
        <w:jc w:val="both"/>
        <w:rPr>
          <w:rFonts w:ascii="Times New Roman" w:hAnsi="Times New Roman"/>
          <w:sz w:val="24"/>
          <w:szCs w:val="24"/>
        </w:rPr>
      </w:pPr>
      <w:r w:rsidRPr="00AA624D">
        <w:rPr>
          <w:rFonts w:ascii="Times New Roman" w:hAnsi="Times New Roman"/>
          <w:sz w:val="24"/>
          <w:szCs w:val="24"/>
        </w:rPr>
        <w:t>Договір №153375 від 22.01.2013р. з ПАТ «</w:t>
      </w:r>
      <w:proofErr w:type="spellStart"/>
      <w:r w:rsidRPr="00AA624D">
        <w:rPr>
          <w:rFonts w:ascii="Times New Roman" w:hAnsi="Times New Roman"/>
          <w:sz w:val="24"/>
          <w:szCs w:val="24"/>
        </w:rPr>
        <w:t>Київенерго</w:t>
      </w:r>
      <w:proofErr w:type="spellEnd"/>
      <w:r w:rsidRPr="00AA624D">
        <w:rPr>
          <w:rFonts w:ascii="Times New Roman" w:hAnsi="Times New Roman"/>
          <w:sz w:val="24"/>
          <w:szCs w:val="24"/>
        </w:rPr>
        <w:t>»</w:t>
      </w:r>
    </w:p>
    <w:p w:rsidR="00AA624D" w:rsidRPr="00AA624D" w:rsidRDefault="00AA624D" w:rsidP="00AA624D">
      <w:pPr>
        <w:pStyle w:val="a5"/>
        <w:tabs>
          <w:tab w:val="left" w:pos="709"/>
          <w:tab w:val="left" w:pos="9952"/>
          <w:tab w:val="left" w:pos="11788"/>
          <w:tab w:val="left" w:pos="13324"/>
        </w:tabs>
        <w:spacing w:after="0" w:line="240" w:lineRule="auto"/>
        <w:ind w:left="644"/>
        <w:jc w:val="both"/>
        <w:rPr>
          <w:rFonts w:ascii="Times New Roman" w:hAnsi="Times New Roman"/>
          <w:sz w:val="24"/>
          <w:szCs w:val="24"/>
        </w:rPr>
      </w:pPr>
    </w:p>
    <w:p w:rsidR="00AA624D" w:rsidRPr="00AA624D" w:rsidRDefault="00AA624D" w:rsidP="00AA624D">
      <w:pPr>
        <w:pStyle w:val="2"/>
        <w:rPr>
          <w:sz w:val="24"/>
          <w:szCs w:val="24"/>
        </w:rPr>
      </w:pPr>
      <w:bookmarkStart w:id="3" w:name="_Toc418451100"/>
      <w:r w:rsidRPr="00AA624D">
        <w:rPr>
          <w:sz w:val="24"/>
          <w:szCs w:val="24"/>
        </w:rPr>
        <w:t>1.2  Стаття витрат «Електроенергія»</w:t>
      </w:r>
      <w:bookmarkEnd w:id="3"/>
    </w:p>
    <w:p w:rsidR="00AA624D" w:rsidRPr="00AA624D" w:rsidRDefault="00AA624D" w:rsidP="00AA624D">
      <w:p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sz w:val="24"/>
          <w:szCs w:val="24"/>
        </w:rPr>
        <w:tab/>
        <w:t xml:space="preserve">Відповідно до п.18 постанови КМУ №869, витрати на придбання електроенергії для технологічних потреб визначаються виходячи з планованого обсягу виробництва ТЕ, норм питомих витрат ПЕР, установлених відповідно до міжгалузевих, галузевих та регіональних методик, інших нормативних документів з нормування витрат та втрат ресурсів, у яких враховуються основні особливості технологічних процесів конкретного виробництва, діючих цін (тарифів) на паливно-енергетичні ресурси. </w:t>
      </w:r>
    </w:p>
    <w:p w:rsidR="00AA624D" w:rsidRPr="00AA624D" w:rsidRDefault="00AA624D" w:rsidP="00AA624D">
      <w:pPr>
        <w:tabs>
          <w:tab w:val="left" w:pos="709"/>
          <w:tab w:val="left" w:pos="9952"/>
          <w:tab w:val="left" w:pos="11788"/>
          <w:tab w:val="left" w:pos="13324"/>
        </w:tabs>
        <w:spacing w:after="0" w:line="240" w:lineRule="auto"/>
        <w:ind w:firstLine="709"/>
        <w:jc w:val="both"/>
        <w:rPr>
          <w:rFonts w:ascii="Times New Roman" w:hAnsi="Times New Roman"/>
          <w:sz w:val="24"/>
          <w:szCs w:val="24"/>
        </w:rPr>
      </w:pPr>
      <w:r w:rsidRPr="00AA624D">
        <w:rPr>
          <w:rFonts w:ascii="Times New Roman" w:hAnsi="Times New Roman"/>
          <w:sz w:val="24"/>
          <w:szCs w:val="24"/>
        </w:rPr>
        <w:t>Нормативні витрати технологічної електроенергії визначено виходячи з річного плану виробництва теплової енергії, з урахуванням розрахованої потужності, що використовується кожним агрегатом, з урахуванням часу роботи у кожному місяці.</w:t>
      </w:r>
    </w:p>
    <w:p w:rsidR="00AA624D" w:rsidRPr="00AA624D" w:rsidRDefault="00AA624D" w:rsidP="00AA624D">
      <w:pPr>
        <w:tabs>
          <w:tab w:val="left" w:pos="709"/>
          <w:tab w:val="left" w:pos="9952"/>
          <w:tab w:val="left" w:pos="11788"/>
          <w:tab w:val="left" w:pos="13324"/>
        </w:tabs>
        <w:spacing w:before="120" w:after="120" w:line="240" w:lineRule="auto"/>
        <w:jc w:val="both"/>
        <w:rPr>
          <w:rFonts w:ascii="Times New Roman" w:hAnsi="Times New Roman"/>
          <w:sz w:val="24"/>
          <w:szCs w:val="24"/>
        </w:rPr>
      </w:pPr>
      <w:r w:rsidRPr="00AA624D">
        <w:rPr>
          <w:rFonts w:ascii="Times New Roman" w:hAnsi="Times New Roman"/>
          <w:sz w:val="24"/>
          <w:szCs w:val="24"/>
        </w:rPr>
        <w:tab/>
        <w:t>Для розрахунку витрат на електроенергію використано такі показники:</w:t>
      </w:r>
    </w:p>
    <w:p w:rsidR="00AA624D" w:rsidRPr="00AA624D" w:rsidRDefault="00AA624D" w:rsidP="00AA624D">
      <w:pPr>
        <w:numPr>
          <w:ilvl w:val="0"/>
          <w:numId w:val="1"/>
        </w:numPr>
        <w:tabs>
          <w:tab w:val="left" w:pos="709"/>
          <w:tab w:val="left" w:pos="9952"/>
          <w:tab w:val="left" w:pos="11788"/>
          <w:tab w:val="left" w:pos="13324"/>
        </w:tabs>
        <w:spacing w:after="0" w:line="240" w:lineRule="auto"/>
        <w:ind w:left="641" w:hanging="357"/>
        <w:jc w:val="both"/>
        <w:rPr>
          <w:rFonts w:ascii="Times New Roman" w:hAnsi="Times New Roman"/>
          <w:sz w:val="24"/>
          <w:szCs w:val="24"/>
        </w:rPr>
      </w:pPr>
      <w:r w:rsidRPr="00AA624D">
        <w:rPr>
          <w:rFonts w:ascii="Times New Roman" w:hAnsi="Times New Roman"/>
          <w:b/>
          <w:sz w:val="24"/>
          <w:szCs w:val="24"/>
        </w:rPr>
        <w:lastRenderedPageBreak/>
        <w:t>Обсяг відпуску теплової енергії –</w:t>
      </w:r>
      <w:r w:rsidRPr="00AA624D">
        <w:rPr>
          <w:rFonts w:ascii="Times New Roman" w:hAnsi="Times New Roman"/>
          <w:sz w:val="24"/>
          <w:szCs w:val="24"/>
        </w:rPr>
        <w:t xml:space="preserve">209,18Гкал, </w:t>
      </w:r>
      <w:r w:rsidRPr="00AA624D">
        <w:rPr>
          <w:rFonts w:ascii="Times New Roman" w:hAnsi="Times New Roman"/>
          <w:b/>
          <w:sz w:val="24"/>
          <w:szCs w:val="24"/>
        </w:rPr>
        <w:t>обсяг реалізації покупної теплової енергії</w:t>
      </w:r>
      <w:r w:rsidRPr="00AA624D">
        <w:rPr>
          <w:rFonts w:ascii="Times New Roman" w:hAnsi="Times New Roman"/>
          <w:sz w:val="24"/>
          <w:szCs w:val="24"/>
        </w:rPr>
        <w:t xml:space="preserve"> – 1034,87Гкал відповідно до Річного плану виробництва, транспортування, постачання теплової енергії ТОВ «CЕРВІС НА САКСАГАНСЬКОГО» на 2017 рік».</w:t>
      </w:r>
    </w:p>
    <w:p w:rsidR="00AA624D" w:rsidRPr="00AA624D" w:rsidRDefault="00AA624D" w:rsidP="00AA624D">
      <w:pPr>
        <w:numPr>
          <w:ilvl w:val="0"/>
          <w:numId w:val="1"/>
        </w:numPr>
        <w:tabs>
          <w:tab w:val="left" w:pos="709"/>
          <w:tab w:val="left" w:pos="9952"/>
          <w:tab w:val="left" w:pos="11788"/>
          <w:tab w:val="left" w:pos="13324"/>
        </w:tabs>
        <w:spacing w:after="0" w:line="240" w:lineRule="auto"/>
        <w:ind w:left="641" w:hanging="357"/>
        <w:jc w:val="both"/>
        <w:rPr>
          <w:rFonts w:ascii="Times New Roman" w:hAnsi="Times New Roman"/>
          <w:sz w:val="24"/>
          <w:szCs w:val="24"/>
        </w:rPr>
      </w:pPr>
      <w:r w:rsidRPr="00AA624D">
        <w:rPr>
          <w:rFonts w:ascii="Times New Roman" w:hAnsi="Times New Roman"/>
          <w:b/>
          <w:sz w:val="24"/>
          <w:szCs w:val="24"/>
        </w:rPr>
        <w:t xml:space="preserve">Питома норма витрат електроенергії на виробництво теплової </w:t>
      </w:r>
      <w:proofErr w:type="spellStart"/>
      <w:r w:rsidRPr="00AA624D">
        <w:rPr>
          <w:rFonts w:ascii="Times New Roman" w:hAnsi="Times New Roman"/>
          <w:b/>
          <w:sz w:val="24"/>
          <w:szCs w:val="24"/>
        </w:rPr>
        <w:t>енергії–</w:t>
      </w:r>
      <w:proofErr w:type="spellEnd"/>
      <w:r w:rsidRPr="00AA624D">
        <w:rPr>
          <w:rFonts w:ascii="Times New Roman" w:hAnsi="Times New Roman"/>
          <w:b/>
          <w:sz w:val="24"/>
          <w:szCs w:val="24"/>
        </w:rPr>
        <w:t xml:space="preserve"> 55,01 </w:t>
      </w:r>
      <w:proofErr w:type="spellStart"/>
      <w:r w:rsidRPr="00AA624D">
        <w:rPr>
          <w:rFonts w:ascii="Times New Roman" w:hAnsi="Times New Roman"/>
          <w:b/>
          <w:bCs/>
          <w:color w:val="000000"/>
          <w:sz w:val="24"/>
          <w:szCs w:val="24"/>
        </w:rPr>
        <w:t>кВт·год</w:t>
      </w:r>
      <w:proofErr w:type="spellEnd"/>
      <w:r w:rsidRPr="00AA624D">
        <w:rPr>
          <w:rFonts w:ascii="Times New Roman" w:hAnsi="Times New Roman"/>
          <w:b/>
          <w:bCs/>
          <w:color w:val="000000"/>
          <w:sz w:val="24"/>
          <w:szCs w:val="24"/>
        </w:rPr>
        <w:t>/</w:t>
      </w:r>
      <w:proofErr w:type="spellStart"/>
      <w:r w:rsidRPr="00AA624D">
        <w:rPr>
          <w:rFonts w:ascii="Times New Roman" w:hAnsi="Times New Roman"/>
          <w:b/>
          <w:bCs/>
          <w:color w:val="000000"/>
          <w:sz w:val="24"/>
          <w:szCs w:val="24"/>
        </w:rPr>
        <w:t>Гкал</w:t>
      </w:r>
      <w:proofErr w:type="spellEnd"/>
      <w:r w:rsidRPr="00AA624D">
        <w:rPr>
          <w:rFonts w:ascii="Times New Roman" w:hAnsi="Times New Roman"/>
          <w:b/>
          <w:bCs/>
          <w:color w:val="000000"/>
          <w:sz w:val="24"/>
          <w:szCs w:val="24"/>
        </w:rPr>
        <w:t xml:space="preserve">, </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sz w:val="24"/>
          <w:szCs w:val="24"/>
        </w:rPr>
      </w:pPr>
      <w:r w:rsidRPr="00AA624D">
        <w:rPr>
          <w:rFonts w:ascii="Times New Roman" w:hAnsi="Times New Roman"/>
          <w:b/>
          <w:sz w:val="24"/>
          <w:szCs w:val="24"/>
        </w:rPr>
        <w:t>Питома норма витрат електроенергії на потреби реалізації теплової енергії (постачання придбаної в ПАТ «</w:t>
      </w:r>
      <w:proofErr w:type="spellStart"/>
      <w:r w:rsidRPr="00AA624D">
        <w:rPr>
          <w:rFonts w:ascii="Times New Roman" w:hAnsi="Times New Roman"/>
          <w:b/>
          <w:sz w:val="24"/>
          <w:szCs w:val="24"/>
        </w:rPr>
        <w:t>Київенерго</w:t>
      </w:r>
      <w:proofErr w:type="spellEnd"/>
      <w:r w:rsidRPr="00AA624D">
        <w:rPr>
          <w:rFonts w:ascii="Times New Roman" w:hAnsi="Times New Roman"/>
          <w:b/>
          <w:sz w:val="24"/>
          <w:szCs w:val="24"/>
        </w:rPr>
        <w:t>» теплової енергії) – 21,94</w:t>
      </w:r>
      <w:r w:rsidRPr="00AA624D">
        <w:rPr>
          <w:rFonts w:ascii="Times New Roman" w:hAnsi="Times New Roman"/>
          <w:b/>
          <w:bCs/>
          <w:color w:val="000000"/>
          <w:sz w:val="24"/>
          <w:szCs w:val="24"/>
        </w:rPr>
        <w:t>кВт·год/</w:t>
      </w:r>
      <w:proofErr w:type="spellStart"/>
      <w:r w:rsidRPr="00AA624D">
        <w:rPr>
          <w:rFonts w:ascii="Times New Roman" w:hAnsi="Times New Roman"/>
          <w:b/>
          <w:bCs/>
          <w:color w:val="000000"/>
          <w:sz w:val="24"/>
          <w:szCs w:val="24"/>
        </w:rPr>
        <w:t>Гкал</w:t>
      </w:r>
      <w:proofErr w:type="spellEnd"/>
      <w:r w:rsidRPr="00AA624D">
        <w:rPr>
          <w:rFonts w:ascii="Times New Roman" w:hAnsi="Times New Roman"/>
          <w:sz w:val="24"/>
          <w:szCs w:val="24"/>
        </w:rPr>
        <w:t>.</w:t>
      </w:r>
    </w:p>
    <w:p w:rsidR="00AA624D" w:rsidRPr="00AA624D" w:rsidRDefault="00AA624D" w:rsidP="00AA624D">
      <w:pPr>
        <w:tabs>
          <w:tab w:val="left" w:pos="0"/>
          <w:tab w:val="left" w:pos="9952"/>
          <w:tab w:val="left" w:pos="11788"/>
          <w:tab w:val="left" w:pos="13324"/>
        </w:tabs>
        <w:spacing w:after="0" w:line="240" w:lineRule="auto"/>
        <w:ind w:firstLine="709"/>
        <w:jc w:val="both"/>
        <w:rPr>
          <w:rFonts w:ascii="Times New Roman" w:hAnsi="Times New Roman"/>
          <w:sz w:val="24"/>
          <w:szCs w:val="24"/>
        </w:rPr>
      </w:pPr>
      <w:r w:rsidRPr="00AA624D">
        <w:rPr>
          <w:rFonts w:ascii="Times New Roman" w:hAnsi="Times New Roman"/>
          <w:b/>
          <w:sz w:val="24"/>
          <w:szCs w:val="24"/>
        </w:rPr>
        <w:t xml:space="preserve">Норми витрат електроенергії </w:t>
      </w:r>
      <w:r w:rsidRPr="00AA624D">
        <w:rPr>
          <w:rFonts w:ascii="Times New Roman" w:hAnsi="Times New Roman"/>
          <w:sz w:val="24"/>
          <w:szCs w:val="24"/>
        </w:rPr>
        <w:t>погоджені Департаментом житлово-комунальної інфраструктури КМДА згідно Наказу Державного комітету України з енергозбереження «Про затвердження Основних положень з нормування питомих витрат паливно-енергетичних ресурсів у суспільному виробництві» від 22.10.2002р. N112. Розрахунок нормативних витрат електроенергії обладнання, встановленого на котельні та ІТП здійснено згідно «Порядку розрахунку нормативних витрат електроенергії підприємствами теплоенергетики при виробництві, транспортуванні та постачанні (розподілі теплової енергії)», затвердженого Наказом Міністерства з питань ЖКГ України №12 від 02.02.2009р.</w:t>
      </w:r>
    </w:p>
    <w:p w:rsidR="00AA624D" w:rsidRPr="00AA624D" w:rsidRDefault="00AA624D" w:rsidP="00AA624D">
      <w:pPr>
        <w:numPr>
          <w:ilvl w:val="0"/>
          <w:numId w:val="1"/>
        </w:numPr>
        <w:tabs>
          <w:tab w:val="left" w:pos="709"/>
          <w:tab w:val="left" w:pos="9952"/>
          <w:tab w:val="left" w:pos="11788"/>
          <w:tab w:val="left" w:pos="13324"/>
        </w:tabs>
        <w:spacing w:after="0" w:line="240" w:lineRule="auto"/>
        <w:jc w:val="both"/>
        <w:rPr>
          <w:rFonts w:ascii="Times New Roman" w:hAnsi="Times New Roman"/>
          <w:b/>
          <w:sz w:val="24"/>
          <w:szCs w:val="24"/>
        </w:rPr>
      </w:pPr>
      <w:r w:rsidRPr="00AA624D">
        <w:rPr>
          <w:rFonts w:ascii="Times New Roman" w:hAnsi="Times New Roman"/>
          <w:b/>
          <w:sz w:val="24"/>
          <w:szCs w:val="24"/>
        </w:rPr>
        <w:t>Тариф на активну електроенергію – 1,61814грн./</w:t>
      </w:r>
      <w:proofErr w:type="spellStart"/>
      <w:r w:rsidRPr="00AA624D">
        <w:rPr>
          <w:rFonts w:ascii="Times New Roman" w:hAnsi="Times New Roman"/>
          <w:b/>
          <w:sz w:val="24"/>
          <w:szCs w:val="24"/>
        </w:rPr>
        <w:t>кВт-год</w:t>
      </w:r>
      <w:proofErr w:type="spellEnd"/>
      <w:r w:rsidRPr="00AA624D">
        <w:rPr>
          <w:rFonts w:ascii="Times New Roman" w:hAnsi="Times New Roman"/>
          <w:b/>
          <w:sz w:val="24"/>
          <w:szCs w:val="24"/>
        </w:rPr>
        <w:t xml:space="preserve"> без </w:t>
      </w:r>
      <w:proofErr w:type="spellStart"/>
      <w:r w:rsidRPr="00AA624D">
        <w:rPr>
          <w:rFonts w:ascii="Times New Roman" w:hAnsi="Times New Roman"/>
          <w:b/>
          <w:sz w:val="24"/>
          <w:szCs w:val="24"/>
        </w:rPr>
        <w:t>ПДВ.</w:t>
      </w:r>
      <w:r w:rsidRPr="00AA624D">
        <w:rPr>
          <w:rFonts w:ascii="Times New Roman" w:hAnsi="Times New Roman"/>
          <w:sz w:val="24"/>
          <w:szCs w:val="24"/>
        </w:rPr>
        <w:t>Згідно</w:t>
      </w:r>
      <w:proofErr w:type="spellEnd"/>
      <w:r w:rsidRPr="00AA624D">
        <w:rPr>
          <w:rFonts w:ascii="Times New Roman" w:hAnsi="Times New Roman"/>
          <w:sz w:val="24"/>
          <w:szCs w:val="24"/>
        </w:rPr>
        <w:t xml:space="preserve"> постанови НКРЕКУ від24.04.2017 №538 </w:t>
      </w:r>
      <w:r w:rsidRPr="00AA624D">
        <w:rPr>
          <w:rFonts w:ascii="Times New Roman" w:hAnsi="Times New Roman"/>
          <w:sz w:val="24"/>
          <w:szCs w:val="24"/>
        </w:rPr>
        <w:br/>
      </w:r>
      <w:r w:rsidRPr="00AA624D">
        <w:rPr>
          <w:rFonts w:ascii="Times New Roman" w:hAnsi="Times New Roman"/>
          <w:color w:val="212121"/>
          <w:sz w:val="24"/>
          <w:szCs w:val="24"/>
          <w:shd w:val="clear" w:color="auto" w:fill="FFFFFF"/>
        </w:rPr>
        <w:t>"Про ринкове формування роздрібних тарифів на електричну енергію, що відпускається для кожного класу споживачів, крім населення, на території України", Порядку розрахунку роздрібного тарифу на електричну енергію, затвердженого постановою Кабінету Міністрів України від 01.06 .2011 №869, Тимчасовою методикою розрахунку роздрібного тарифу на електроенергію, тарифу на передачу електроенергії місцевими (локальними) електромережами та тарифу на постачання електроенергії, затвердженої постановою НКРЕ від 06.05.1998 №564, Порядком ринкового формування роздрібних тарифів на електроенергію, що відпускаються споживачі, затверджене постановою НКРЕКУ від 13.06.2016 №1129, та листа НКРЕКУ від 25.04.2017 №4309 / 17.2.1 / 7-17.</w:t>
      </w:r>
      <w:r w:rsidRPr="00AA624D">
        <w:rPr>
          <w:rFonts w:ascii="Times New Roman" w:hAnsi="Times New Roman"/>
          <w:sz w:val="24"/>
          <w:szCs w:val="24"/>
        </w:rPr>
        <w:tab/>
      </w:r>
      <w:r w:rsidRPr="00AA624D">
        <w:rPr>
          <w:rFonts w:ascii="Times New Roman" w:hAnsi="Times New Roman"/>
          <w:sz w:val="24"/>
          <w:szCs w:val="24"/>
        </w:rPr>
        <w:tab/>
      </w:r>
      <w:r w:rsidRPr="00AA624D">
        <w:rPr>
          <w:rFonts w:ascii="Times New Roman" w:hAnsi="Times New Roman"/>
          <w:sz w:val="24"/>
          <w:szCs w:val="24"/>
        </w:rPr>
        <w:tab/>
        <w:t>.</w:t>
      </w:r>
      <w:r w:rsidRPr="00AA624D">
        <w:rPr>
          <w:rFonts w:ascii="Times New Roman" w:hAnsi="Times New Roman"/>
          <w:sz w:val="24"/>
          <w:szCs w:val="24"/>
        </w:rPr>
        <w:tab/>
      </w:r>
    </w:p>
    <w:p w:rsidR="00AA624D" w:rsidRPr="00AA624D" w:rsidRDefault="00AA624D" w:rsidP="00AA624D">
      <w:pPr>
        <w:tabs>
          <w:tab w:val="left" w:pos="0"/>
          <w:tab w:val="left" w:pos="9952"/>
          <w:tab w:val="left" w:pos="11788"/>
          <w:tab w:val="left" w:pos="13324"/>
        </w:tabs>
        <w:spacing w:after="0" w:line="240" w:lineRule="auto"/>
        <w:ind w:firstLine="709"/>
        <w:jc w:val="both"/>
        <w:rPr>
          <w:rFonts w:ascii="Times New Roman" w:hAnsi="Times New Roman"/>
          <w:b/>
          <w:sz w:val="24"/>
          <w:szCs w:val="24"/>
        </w:rPr>
      </w:pPr>
      <w:r w:rsidRPr="00AA624D">
        <w:rPr>
          <w:rFonts w:ascii="Times New Roman" w:hAnsi="Times New Roman"/>
          <w:i/>
          <w:sz w:val="24"/>
          <w:szCs w:val="24"/>
        </w:rPr>
        <w:t xml:space="preserve">Витрати на реактивну </w:t>
      </w:r>
      <w:proofErr w:type="spellStart"/>
      <w:r w:rsidRPr="00AA624D">
        <w:rPr>
          <w:rFonts w:ascii="Times New Roman" w:hAnsi="Times New Roman"/>
          <w:i/>
          <w:sz w:val="24"/>
          <w:szCs w:val="24"/>
        </w:rPr>
        <w:t>електроенергію</w:t>
      </w:r>
      <w:r w:rsidRPr="00AA624D">
        <w:rPr>
          <w:rFonts w:ascii="Times New Roman" w:hAnsi="Times New Roman"/>
          <w:sz w:val="24"/>
          <w:szCs w:val="24"/>
        </w:rPr>
        <w:t>визначені</w:t>
      </w:r>
      <w:proofErr w:type="spellEnd"/>
      <w:r w:rsidRPr="00AA624D">
        <w:rPr>
          <w:rFonts w:ascii="Times New Roman" w:hAnsi="Times New Roman"/>
          <w:sz w:val="24"/>
          <w:szCs w:val="24"/>
        </w:rPr>
        <w:t xml:space="preserve"> </w:t>
      </w:r>
      <w:proofErr w:type="spellStart"/>
      <w:r w:rsidRPr="00AA624D">
        <w:rPr>
          <w:rFonts w:ascii="Times New Roman" w:hAnsi="Times New Roman"/>
          <w:sz w:val="24"/>
          <w:szCs w:val="24"/>
        </w:rPr>
        <w:t>напідставі</w:t>
      </w:r>
      <w:proofErr w:type="spellEnd"/>
      <w:r w:rsidRPr="00AA624D">
        <w:rPr>
          <w:rFonts w:ascii="Times New Roman" w:hAnsi="Times New Roman"/>
          <w:sz w:val="24"/>
          <w:szCs w:val="24"/>
        </w:rPr>
        <w:t xml:space="preserve"> визначення </w:t>
      </w:r>
      <w:proofErr w:type="spellStart"/>
      <w:r w:rsidRPr="00AA624D">
        <w:rPr>
          <w:rFonts w:ascii="Times New Roman" w:hAnsi="Times New Roman"/>
          <w:sz w:val="24"/>
          <w:szCs w:val="24"/>
        </w:rPr>
        <w:t>кВар</w:t>
      </w:r>
      <w:proofErr w:type="spellEnd"/>
      <w:r w:rsidRPr="00AA624D">
        <w:rPr>
          <w:rFonts w:ascii="Times New Roman" w:hAnsi="Times New Roman"/>
          <w:sz w:val="24"/>
          <w:szCs w:val="24"/>
        </w:rPr>
        <w:t>/</w:t>
      </w:r>
      <w:proofErr w:type="spellStart"/>
      <w:r w:rsidRPr="00AA624D">
        <w:rPr>
          <w:rFonts w:ascii="Times New Roman" w:hAnsi="Times New Roman"/>
          <w:sz w:val="24"/>
          <w:szCs w:val="24"/>
        </w:rPr>
        <w:t>год</w:t>
      </w:r>
      <w:proofErr w:type="spellEnd"/>
      <w:r w:rsidRPr="00AA624D">
        <w:rPr>
          <w:rFonts w:ascii="Times New Roman" w:hAnsi="Times New Roman"/>
          <w:sz w:val="24"/>
          <w:szCs w:val="24"/>
        </w:rPr>
        <w:t>/1Гкал за фактом надання послуг з перетікання реактивної електроенергії за 2016 р.  – 250,27кВар/</w:t>
      </w:r>
      <w:proofErr w:type="spellStart"/>
      <w:r w:rsidRPr="00AA624D">
        <w:rPr>
          <w:rFonts w:ascii="Times New Roman" w:hAnsi="Times New Roman"/>
          <w:sz w:val="24"/>
          <w:szCs w:val="24"/>
        </w:rPr>
        <w:t>год</w:t>
      </w:r>
      <w:proofErr w:type="spellEnd"/>
      <w:r w:rsidRPr="00AA624D">
        <w:rPr>
          <w:rFonts w:ascii="Times New Roman" w:hAnsi="Times New Roman"/>
          <w:sz w:val="24"/>
          <w:szCs w:val="24"/>
        </w:rPr>
        <w:t>/1Гкал (78083кВАр/</w:t>
      </w:r>
      <w:proofErr w:type="spellStart"/>
      <w:r w:rsidRPr="00AA624D">
        <w:rPr>
          <w:rFonts w:ascii="Times New Roman" w:hAnsi="Times New Roman"/>
          <w:sz w:val="24"/>
          <w:szCs w:val="24"/>
        </w:rPr>
        <w:t>год</w:t>
      </w:r>
      <w:proofErr w:type="spellEnd"/>
      <w:r w:rsidRPr="00AA624D">
        <w:rPr>
          <w:rFonts w:ascii="Times New Roman" w:hAnsi="Times New Roman"/>
          <w:sz w:val="24"/>
          <w:szCs w:val="24"/>
        </w:rPr>
        <w:t xml:space="preserve">/312Гкал) та планового обсягу виробництва ТЕ </w:t>
      </w:r>
      <w:proofErr w:type="spellStart"/>
      <w:r w:rsidRPr="00AA624D">
        <w:rPr>
          <w:rFonts w:ascii="Times New Roman" w:hAnsi="Times New Roman"/>
          <w:sz w:val="24"/>
          <w:szCs w:val="24"/>
        </w:rPr>
        <w:t>ісередньозваженого</w:t>
      </w:r>
      <w:proofErr w:type="spellEnd"/>
      <w:r w:rsidRPr="00AA624D">
        <w:rPr>
          <w:rFonts w:ascii="Times New Roman" w:hAnsi="Times New Roman"/>
          <w:sz w:val="24"/>
          <w:szCs w:val="24"/>
        </w:rPr>
        <w:t xml:space="preserve"> тарифу на реактивну електроенергію у розмірі – 0,0645грн./</w:t>
      </w:r>
      <w:proofErr w:type="spellStart"/>
      <w:r w:rsidRPr="00AA624D">
        <w:rPr>
          <w:rFonts w:ascii="Times New Roman" w:hAnsi="Times New Roman"/>
          <w:sz w:val="24"/>
          <w:szCs w:val="24"/>
        </w:rPr>
        <w:t>кВАр</w:t>
      </w:r>
      <w:proofErr w:type="spellEnd"/>
      <w:r w:rsidRPr="00AA624D">
        <w:rPr>
          <w:rFonts w:ascii="Times New Roman" w:hAnsi="Times New Roman"/>
          <w:sz w:val="24"/>
          <w:szCs w:val="24"/>
        </w:rPr>
        <w:t>/</w:t>
      </w:r>
      <w:proofErr w:type="spellStart"/>
      <w:r w:rsidRPr="00AA624D">
        <w:rPr>
          <w:rFonts w:ascii="Times New Roman" w:hAnsi="Times New Roman"/>
          <w:sz w:val="24"/>
          <w:szCs w:val="24"/>
        </w:rPr>
        <w:t>год</w:t>
      </w:r>
      <w:proofErr w:type="spellEnd"/>
      <w:r w:rsidRPr="00AA624D">
        <w:rPr>
          <w:rFonts w:ascii="Times New Roman" w:hAnsi="Times New Roman"/>
          <w:sz w:val="24"/>
          <w:szCs w:val="24"/>
        </w:rPr>
        <w:t xml:space="preserve"> (без ПДВ), визначеного на підставі аналізу ціни на реактивну електроенергію за 2016 рік. Річні витрати на реактивну електроенергію складають 3,38 тис. грн.</w:t>
      </w:r>
    </w:p>
    <w:p w:rsidR="00AA624D" w:rsidRPr="00AA624D" w:rsidRDefault="00AA624D" w:rsidP="00AA624D">
      <w:pPr>
        <w:tabs>
          <w:tab w:val="left" w:pos="0"/>
          <w:tab w:val="left" w:pos="9952"/>
          <w:tab w:val="left" w:pos="11788"/>
          <w:tab w:val="left" w:pos="13324"/>
        </w:tabs>
        <w:spacing w:after="0" w:line="240" w:lineRule="auto"/>
        <w:ind w:firstLine="709"/>
        <w:jc w:val="both"/>
        <w:rPr>
          <w:rFonts w:ascii="Times New Roman" w:hAnsi="Times New Roman"/>
          <w:sz w:val="24"/>
          <w:szCs w:val="24"/>
        </w:rPr>
      </w:pPr>
      <w:r w:rsidRPr="00AA624D">
        <w:rPr>
          <w:rFonts w:ascii="Times New Roman" w:hAnsi="Times New Roman"/>
          <w:sz w:val="24"/>
          <w:szCs w:val="24"/>
        </w:rPr>
        <w:t>Витрати на активну електроенергію розраховані виходячи з питомих норм витрат електроенергії та встановленого тарифу і складають – 55,35тис. грн.</w:t>
      </w:r>
    </w:p>
    <w:p w:rsidR="00AA624D" w:rsidRPr="00AA624D" w:rsidRDefault="00AA624D" w:rsidP="00AA624D">
      <w:pPr>
        <w:tabs>
          <w:tab w:val="left" w:pos="0"/>
          <w:tab w:val="left" w:pos="9952"/>
          <w:tab w:val="left" w:pos="11788"/>
          <w:tab w:val="left" w:pos="13324"/>
        </w:tabs>
        <w:spacing w:after="0" w:line="240" w:lineRule="auto"/>
        <w:ind w:firstLine="709"/>
        <w:jc w:val="both"/>
        <w:rPr>
          <w:rFonts w:ascii="Times New Roman" w:hAnsi="Times New Roman"/>
          <w:sz w:val="24"/>
          <w:szCs w:val="24"/>
        </w:rPr>
      </w:pPr>
      <w:r w:rsidRPr="00AA624D">
        <w:rPr>
          <w:rFonts w:ascii="Times New Roman" w:hAnsi="Times New Roman"/>
          <w:sz w:val="24"/>
          <w:szCs w:val="24"/>
        </w:rPr>
        <w:t>Таким чином загальні витрати по статті «Електроенергія» складають</w:t>
      </w:r>
      <w:r w:rsidRPr="00AA624D">
        <w:rPr>
          <w:rFonts w:ascii="Times New Roman" w:hAnsi="Times New Roman"/>
          <w:sz w:val="24"/>
          <w:szCs w:val="24"/>
          <w:u w:val="single"/>
        </w:rPr>
        <w:t>:</w:t>
      </w:r>
      <w:r w:rsidRPr="00AA624D">
        <w:rPr>
          <w:rFonts w:ascii="Times New Roman" w:hAnsi="Times New Roman"/>
          <w:sz w:val="24"/>
          <w:szCs w:val="24"/>
        </w:rPr>
        <w:t>58,73 тис. грн.</w:t>
      </w:r>
    </w:p>
    <w:p w:rsidR="00AA624D" w:rsidRPr="00AA624D" w:rsidRDefault="00AA624D" w:rsidP="00AA624D">
      <w:pPr>
        <w:spacing w:before="120" w:after="120" w:line="240" w:lineRule="auto"/>
        <w:ind w:firstLine="720"/>
        <w:jc w:val="both"/>
        <w:rPr>
          <w:rFonts w:ascii="Times New Roman" w:hAnsi="Times New Roman"/>
          <w:b/>
          <w:sz w:val="24"/>
          <w:szCs w:val="24"/>
          <w:highlight w:val="yellow"/>
          <w:u w:val="single"/>
        </w:rPr>
      </w:pPr>
    </w:p>
    <w:p w:rsidR="00AA624D" w:rsidRPr="00AA624D" w:rsidRDefault="00AA624D" w:rsidP="00AA624D">
      <w:pPr>
        <w:pStyle w:val="2"/>
        <w:rPr>
          <w:sz w:val="24"/>
          <w:szCs w:val="24"/>
        </w:rPr>
      </w:pPr>
      <w:bookmarkStart w:id="4" w:name="_Toc418451103"/>
      <w:r w:rsidRPr="00AA624D">
        <w:rPr>
          <w:sz w:val="24"/>
          <w:szCs w:val="24"/>
        </w:rPr>
        <w:t>2)Стаття витрат «Заробітна плата та Відрахування на загальнообов’язкове державне соціальне страхування»</w:t>
      </w:r>
      <w:bookmarkEnd w:id="4"/>
    </w:p>
    <w:p w:rsidR="00AA624D" w:rsidRPr="00AA624D" w:rsidRDefault="00AA624D" w:rsidP="00AA624D">
      <w:pPr>
        <w:spacing w:after="0" w:line="240" w:lineRule="auto"/>
        <w:ind w:firstLine="539"/>
        <w:jc w:val="both"/>
        <w:rPr>
          <w:rFonts w:ascii="Times New Roman" w:hAnsi="Times New Roman"/>
          <w:sz w:val="24"/>
          <w:szCs w:val="24"/>
        </w:rPr>
      </w:pPr>
      <w:r w:rsidRPr="00AA624D">
        <w:rPr>
          <w:rFonts w:ascii="Times New Roman" w:hAnsi="Times New Roman"/>
          <w:sz w:val="24"/>
          <w:szCs w:val="24"/>
        </w:rPr>
        <w:t xml:space="preserve">Відповідно до п.18 встановленого Порядку формування тарифів до складу прямих витрат з оплати праці включено витрати з основної заробітної плати виробничого персоналу, які розраховані виходячи з встановлених на підприємстві тарифних ставок (окладів) </w:t>
      </w:r>
      <w:proofErr w:type="spellStart"/>
      <w:r w:rsidRPr="00AA624D">
        <w:rPr>
          <w:rFonts w:ascii="Times New Roman" w:hAnsi="Times New Roman"/>
          <w:sz w:val="24"/>
          <w:szCs w:val="24"/>
        </w:rPr>
        <w:t>таДодатку</w:t>
      </w:r>
      <w:proofErr w:type="spellEnd"/>
      <w:r w:rsidRPr="00AA624D">
        <w:rPr>
          <w:rFonts w:ascii="Times New Roman" w:hAnsi="Times New Roman"/>
          <w:sz w:val="24"/>
          <w:szCs w:val="24"/>
        </w:rPr>
        <w:t xml:space="preserve"> до Наказу про облікову політику на підприємстві від 01.01.2016р.  Оклади розраховані виходячи з мінімальної заробітної плати встановленої ЗУ «Про Державний бюджет України на 2017 рік» </w:t>
      </w:r>
      <w:proofErr w:type="spellStart"/>
      <w:r w:rsidRPr="00AA624D">
        <w:rPr>
          <w:rFonts w:ascii="Times New Roman" w:hAnsi="Times New Roman"/>
          <w:sz w:val="24"/>
          <w:szCs w:val="24"/>
        </w:rPr>
        <w:t>.Додаткова</w:t>
      </w:r>
      <w:proofErr w:type="spellEnd"/>
      <w:r w:rsidRPr="00AA624D">
        <w:rPr>
          <w:rFonts w:ascii="Times New Roman" w:hAnsi="Times New Roman"/>
          <w:sz w:val="24"/>
          <w:szCs w:val="24"/>
        </w:rPr>
        <w:t xml:space="preserve"> заробітна плата  в розрахунок тарифів не включена.</w:t>
      </w:r>
    </w:p>
    <w:p w:rsidR="00AA624D" w:rsidRPr="00AA624D" w:rsidRDefault="00AA624D" w:rsidP="00AA624D">
      <w:pPr>
        <w:pStyle w:val="a3"/>
        <w:ind w:firstLine="709"/>
        <w:jc w:val="both"/>
        <w:rPr>
          <w:b/>
          <w:szCs w:val="24"/>
        </w:rPr>
      </w:pPr>
      <w:r w:rsidRPr="00AA624D">
        <w:rPr>
          <w:szCs w:val="24"/>
        </w:rPr>
        <w:t xml:space="preserve">З урахуванням тарифних ставок і </w:t>
      </w:r>
      <w:proofErr w:type="spellStart"/>
      <w:r w:rsidRPr="00AA624D">
        <w:rPr>
          <w:szCs w:val="24"/>
        </w:rPr>
        <w:t>окладіврічні</w:t>
      </w:r>
      <w:proofErr w:type="spellEnd"/>
      <w:r w:rsidRPr="00AA624D">
        <w:rPr>
          <w:szCs w:val="24"/>
        </w:rPr>
        <w:t xml:space="preserve"> планові витрати на оплату праці в тарифах на теплову енергію та послуги з централізованого опалення складають </w:t>
      </w:r>
      <w:r w:rsidRPr="00AA624D">
        <w:rPr>
          <w:b/>
          <w:szCs w:val="24"/>
        </w:rPr>
        <w:t>117,97тис.грн.</w:t>
      </w:r>
    </w:p>
    <w:tbl>
      <w:tblPr>
        <w:tblW w:w="102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3506"/>
        <w:gridCol w:w="1037"/>
        <w:gridCol w:w="1519"/>
        <w:gridCol w:w="1312"/>
        <w:gridCol w:w="1529"/>
        <w:gridCol w:w="1389"/>
      </w:tblGrid>
      <w:tr w:rsidR="00AA624D" w:rsidRPr="00AA624D" w:rsidTr="00D12FAF">
        <w:trPr>
          <w:trHeight w:val="855"/>
        </w:trPr>
        <w:tc>
          <w:tcPr>
            <w:tcW w:w="3506" w:type="dxa"/>
            <w:vAlign w:val="center"/>
          </w:tcPr>
          <w:p w:rsidR="00AA624D" w:rsidRPr="00AA624D" w:rsidRDefault="00AA624D" w:rsidP="00D12FAF">
            <w:pPr>
              <w:spacing w:after="0" w:line="240" w:lineRule="auto"/>
              <w:jc w:val="center"/>
              <w:rPr>
                <w:rFonts w:ascii="Times New Roman" w:hAnsi="Times New Roman"/>
                <w:b/>
                <w:bCs/>
                <w:sz w:val="24"/>
                <w:szCs w:val="24"/>
                <w:lang w:eastAsia="uk-UA"/>
              </w:rPr>
            </w:pPr>
            <w:proofErr w:type="gramStart"/>
            <w:r w:rsidRPr="00AA624D">
              <w:rPr>
                <w:rFonts w:ascii="Times New Roman" w:hAnsi="Times New Roman"/>
                <w:b/>
                <w:bCs/>
                <w:sz w:val="24"/>
                <w:szCs w:val="24"/>
                <w:lang w:val="ru-RU" w:eastAsia="uk-UA"/>
              </w:rPr>
              <w:t>Р</w:t>
            </w:r>
            <w:proofErr w:type="spellStart"/>
            <w:proofErr w:type="gramEnd"/>
            <w:r w:rsidRPr="00AA624D">
              <w:rPr>
                <w:rFonts w:ascii="Times New Roman" w:hAnsi="Times New Roman"/>
                <w:b/>
                <w:bCs/>
                <w:sz w:val="24"/>
                <w:szCs w:val="24"/>
                <w:lang w:eastAsia="uk-UA"/>
              </w:rPr>
              <w:t>ічний</w:t>
            </w:r>
            <w:proofErr w:type="spellEnd"/>
            <w:r w:rsidRPr="00AA624D">
              <w:rPr>
                <w:rFonts w:ascii="Times New Roman" w:hAnsi="Times New Roman"/>
                <w:b/>
                <w:bCs/>
                <w:sz w:val="24"/>
                <w:szCs w:val="24"/>
                <w:lang w:eastAsia="uk-UA"/>
              </w:rPr>
              <w:t xml:space="preserve"> </w:t>
            </w:r>
            <w:proofErr w:type="spellStart"/>
            <w:r w:rsidRPr="00AA624D">
              <w:rPr>
                <w:rFonts w:ascii="Times New Roman" w:hAnsi="Times New Roman"/>
                <w:b/>
                <w:bCs/>
                <w:sz w:val="24"/>
                <w:szCs w:val="24"/>
                <w:lang w:eastAsia="uk-UA"/>
              </w:rPr>
              <w:t>ФОП</w:t>
            </w:r>
            <w:proofErr w:type="spellEnd"/>
            <w:r w:rsidRPr="00AA624D">
              <w:rPr>
                <w:rFonts w:ascii="Times New Roman" w:hAnsi="Times New Roman"/>
                <w:b/>
                <w:bCs/>
                <w:sz w:val="24"/>
                <w:szCs w:val="24"/>
                <w:lang w:eastAsia="uk-UA"/>
              </w:rPr>
              <w:t xml:space="preserve"> , у </w:t>
            </w:r>
            <w:proofErr w:type="spellStart"/>
            <w:r w:rsidRPr="00AA624D">
              <w:rPr>
                <w:rFonts w:ascii="Times New Roman" w:hAnsi="Times New Roman"/>
                <w:b/>
                <w:bCs/>
                <w:sz w:val="24"/>
                <w:szCs w:val="24"/>
                <w:lang w:eastAsia="uk-UA"/>
              </w:rPr>
              <w:t>т.ч</w:t>
            </w:r>
            <w:proofErr w:type="spellEnd"/>
            <w:r w:rsidRPr="00AA624D">
              <w:rPr>
                <w:rFonts w:ascii="Times New Roman" w:hAnsi="Times New Roman"/>
                <w:b/>
                <w:bCs/>
                <w:sz w:val="24"/>
                <w:szCs w:val="24"/>
                <w:lang w:eastAsia="uk-UA"/>
              </w:rPr>
              <w:t>:</w:t>
            </w:r>
          </w:p>
        </w:tc>
        <w:tc>
          <w:tcPr>
            <w:tcW w:w="1037" w:type="dxa"/>
            <w:noWrap/>
            <w:vAlign w:val="center"/>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lang w:eastAsia="uk-UA"/>
              </w:rPr>
              <w:t>Всього</w:t>
            </w:r>
          </w:p>
        </w:tc>
        <w:tc>
          <w:tcPr>
            <w:tcW w:w="1519" w:type="dxa"/>
            <w:noWrap/>
            <w:vAlign w:val="center"/>
          </w:tcPr>
          <w:p w:rsidR="00AA624D" w:rsidRPr="00AA624D" w:rsidRDefault="00AA624D" w:rsidP="00D12FAF">
            <w:pPr>
              <w:spacing w:after="0" w:line="240" w:lineRule="auto"/>
              <w:jc w:val="center"/>
              <w:rPr>
                <w:rFonts w:ascii="Times New Roman" w:hAnsi="Times New Roman"/>
                <w:b/>
                <w:sz w:val="24"/>
                <w:szCs w:val="24"/>
              </w:rPr>
            </w:pPr>
            <w:proofErr w:type="spellStart"/>
            <w:r w:rsidRPr="00AA624D">
              <w:rPr>
                <w:rFonts w:ascii="Times New Roman" w:hAnsi="Times New Roman"/>
                <w:b/>
                <w:sz w:val="24"/>
                <w:szCs w:val="24"/>
              </w:rPr>
              <w:t>Вироб-во</w:t>
            </w:r>
            <w:proofErr w:type="spellEnd"/>
            <w:r w:rsidRPr="00AA624D">
              <w:rPr>
                <w:rFonts w:ascii="Times New Roman" w:hAnsi="Times New Roman"/>
                <w:b/>
                <w:sz w:val="24"/>
                <w:szCs w:val="24"/>
              </w:rPr>
              <w:t xml:space="preserve"> ТЕ (котельня)</w:t>
            </w:r>
          </w:p>
        </w:tc>
        <w:tc>
          <w:tcPr>
            <w:tcW w:w="1312" w:type="dxa"/>
            <w:noWrap/>
            <w:vAlign w:val="center"/>
          </w:tcPr>
          <w:p w:rsidR="00AA624D" w:rsidRPr="00AA624D" w:rsidRDefault="00AA624D" w:rsidP="00D12FAF">
            <w:pPr>
              <w:spacing w:after="0" w:line="240" w:lineRule="auto"/>
              <w:jc w:val="center"/>
              <w:rPr>
                <w:rFonts w:ascii="Times New Roman" w:hAnsi="Times New Roman"/>
                <w:b/>
                <w:sz w:val="24"/>
                <w:szCs w:val="24"/>
              </w:rPr>
            </w:pPr>
            <w:proofErr w:type="spellStart"/>
            <w:r w:rsidRPr="00AA624D">
              <w:rPr>
                <w:rFonts w:ascii="Times New Roman" w:hAnsi="Times New Roman"/>
                <w:b/>
                <w:sz w:val="24"/>
                <w:szCs w:val="24"/>
              </w:rPr>
              <w:t>Тран-ня</w:t>
            </w:r>
            <w:proofErr w:type="spellEnd"/>
            <w:r w:rsidRPr="00AA624D">
              <w:rPr>
                <w:rFonts w:ascii="Times New Roman" w:hAnsi="Times New Roman"/>
                <w:b/>
                <w:sz w:val="24"/>
                <w:szCs w:val="24"/>
              </w:rPr>
              <w:t xml:space="preserve"> ТЕ (т/мережі)</w:t>
            </w:r>
          </w:p>
        </w:tc>
        <w:tc>
          <w:tcPr>
            <w:tcW w:w="1529" w:type="dxa"/>
            <w:noWrap/>
            <w:vAlign w:val="center"/>
          </w:tcPr>
          <w:p w:rsidR="00AA624D" w:rsidRPr="00AA624D" w:rsidRDefault="00AA624D" w:rsidP="00D12FAF">
            <w:pPr>
              <w:spacing w:after="0" w:line="240" w:lineRule="auto"/>
              <w:jc w:val="center"/>
              <w:rPr>
                <w:rFonts w:ascii="Times New Roman" w:hAnsi="Times New Roman"/>
                <w:b/>
                <w:sz w:val="24"/>
                <w:szCs w:val="24"/>
              </w:rPr>
            </w:pPr>
            <w:r w:rsidRPr="00AA624D">
              <w:rPr>
                <w:rFonts w:ascii="Times New Roman" w:hAnsi="Times New Roman"/>
                <w:b/>
                <w:sz w:val="24"/>
                <w:szCs w:val="24"/>
              </w:rPr>
              <w:t>Постачання ТЕ (ІТП)</w:t>
            </w:r>
          </w:p>
        </w:tc>
        <w:tc>
          <w:tcPr>
            <w:tcW w:w="1389" w:type="dxa"/>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rPr>
              <w:t>Надання послуг з ЦО населенню</w:t>
            </w:r>
          </w:p>
        </w:tc>
      </w:tr>
      <w:tr w:rsidR="00AA624D" w:rsidRPr="00AA624D" w:rsidTr="00D12FAF">
        <w:trPr>
          <w:trHeight w:val="219"/>
        </w:trPr>
        <w:tc>
          <w:tcPr>
            <w:tcW w:w="3506" w:type="dxa"/>
            <w:noWrap/>
            <w:vAlign w:val="center"/>
          </w:tcPr>
          <w:p w:rsidR="00AA624D" w:rsidRPr="00AA624D" w:rsidRDefault="00AA624D" w:rsidP="00D12FAF">
            <w:pPr>
              <w:spacing w:after="0" w:line="240" w:lineRule="auto"/>
              <w:rPr>
                <w:rFonts w:ascii="Times New Roman" w:hAnsi="Times New Roman"/>
                <w:b/>
                <w:sz w:val="24"/>
                <w:szCs w:val="24"/>
                <w:lang w:eastAsia="uk-UA"/>
              </w:rPr>
            </w:pPr>
            <w:r w:rsidRPr="00AA624D">
              <w:rPr>
                <w:rFonts w:ascii="Times New Roman" w:hAnsi="Times New Roman"/>
                <w:b/>
                <w:sz w:val="24"/>
                <w:szCs w:val="24"/>
              </w:rPr>
              <w:t>Виробничий персонал</w:t>
            </w:r>
          </w:p>
        </w:tc>
        <w:tc>
          <w:tcPr>
            <w:tcW w:w="1037"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42,00</w:t>
            </w:r>
          </w:p>
        </w:tc>
        <w:tc>
          <w:tcPr>
            <w:tcW w:w="151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21,00</w:t>
            </w:r>
          </w:p>
        </w:tc>
        <w:tc>
          <w:tcPr>
            <w:tcW w:w="1312"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21,00</w:t>
            </w:r>
          </w:p>
        </w:tc>
        <w:tc>
          <w:tcPr>
            <w:tcW w:w="1389" w:type="dxa"/>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r>
      <w:tr w:rsidR="00AA624D" w:rsidRPr="00AA624D" w:rsidTr="00D12FAF">
        <w:trPr>
          <w:trHeight w:val="117"/>
        </w:trPr>
        <w:tc>
          <w:tcPr>
            <w:tcW w:w="3506" w:type="dxa"/>
            <w:noWrap/>
            <w:vAlign w:val="center"/>
          </w:tcPr>
          <w:p w:rsidR="00AA624D" w:rsidRPr="00AA624D" w:rsidRDefault="00AA624D" w:rsidP="00D12FAF">
            <w:pPr>
              <w:spacing w:after="0"/>
              <w:rPr>
                <w:rFonts w:ascii="Times New Roman" w:hAnsi="Times New Roman"/>
                <w:b/>
                <w:sz w:val="24"/>
                <w:szCs w:val="24"/>
              </w:rPr>
            </w:pPr>
            <w:r w:rsidRPr="00AA624D">
              <w:rPr>
                <w:rFonts w:ascii="Times New Roman" w:hAnsi="Times New Roman"/>
                <w:b/>
                <w:sz w:val="24"/>
                <w:szCs w:val="24"/>
              </w:rPr>
              <w:t xml:space="preserve">Загальновиробничий </w:t>
            </w:r>
            <w:r w:rsidRPr="00AA624D">
              <w:rPr>
                <w:rFonts w:ascii="Times New Roman" w:hAnsi="Times New Roman"/>
                <w:b/>
                <w:sz w:val="24"/>
                <w:szCs w:val="24"/>
              </w:rPr>
              <w:lastRenderedPageBreak/>
              <w:t>персонал</w:t>
            </w:r>
          </w:p>
        </w:tc>
        <w:tc>
          <w:tcPr>
            <w:tcW w:w="1037"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lastRenderedPageBreak/>
              <w:t>25,3</w:t>
            </w:r>
          </w:p>
        </w:tc>
        <w:tc>
          <w:tcPr>
            <w:tcW w:w="151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16,10</w:t>
            </w:r>
          </w:p>
        </w:tc>
        <w:tc>
          <w:tcPr>
            <w:tcW w:w="1312"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0,77</w:t>
            </w:r>
          </w:p>
        </w:tc>
        <w:tc>
          <w:tcPr>
            <w:tcW w:w="1389" w:type="dxa"/>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8,43</w:t>
            </w:r>
          </w:p>
        </w:tc>
      </w:tr>
      <w:tr w:rsidR="00AA624D" w:rsidRPr="00AA624D" w:rsidTr="00D12FAF">
        <w:trPr>
          <w:trHeight w:val="270"/>
        </w:trPr>
        <w:tc>
          <w:tcPr>
            <w:tcW w:w="3506" w:type="dxa"/>
            <w:noWrap/>
            <w:vAlign w:val="center"/>
          </w:tcPr>
          <w:p w:rsidR="00AA624D" w:rsidRPr="00AA624D" w:rsidRDefault="00AA624D" w:rsidP="00D12FAF">
            <w:pPr>
              <w:spacing w:after="0"/>
              <w:rPr>
                <w:rFonts w:ascii="Times New Roman" w:hAnsi="Times New Roman"/>
                <w:b/>
                <w:sz w:val="24"/>
                <w:szCs w:val="24"/>
              </w:rPr>
            </w:pPr>
            <w:r w:rsidRPr="00AA624D">
              <w:rPr>
                <w:rFonts w:ascii="Times New Roman" w:hAnsi="Times New Roman"/>
                <w:b/>
                <w:sz w:val="24"/>
                <w:szCs w:val="24"/>
              </w:rPr>
              <w:lastRenderedPageBreak/>
              <w:t>Адміністративний персонал</w:t>
            </w:r>
          </w:p>
        </w:tc>
        <w:tc>
          <w:tcPr>
            <w:tcW w:w="1037"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29,07</w:t>
            </w:r>
          </w:p>
        </w:tc>
        <w:tc>
          <w:tcPr>
            <w:tcW w:w="151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18,49</w:t>
            </w:r>
          </w:p>
        </w:tc>
        <w:tc>
          <w:tcPr>
            <w:tcW w:w="1312"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0,89</w:t>
            </w:r>
          </w:p>
        </w:tc>
        <w:tc>
          <w:tcPr>
            <w:tcW w:w="1389" w:type="dxa"/>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9,69</w:t>
            </w:r>
          </w:p>
        </w:tc>
      </w:tr>
      <w:tr w:rsidR="00AA624D" w:rsidRPr="00AA624D" w:rsidTr="00D12FAF">
        <w:trPr>
          <w:trHeight w:val="301"/>
        </w:trPr>
        <w:tc>
          <w:tcPr>
            <w:tcW w:w="3506" w:type="dxa"/>
            <w:noWrap/>
            <w:vAlign w:val="center"/>
          </w:tcPr>
          <w:p w:rsidR="00AA624D" w:rsidRPr="00AA624D" w:rsidRDefault="00AA624D" w:rsidP="00D12FAF">
            <w:pPr>
              <w:spacing w:after="0"/>
              <w:rPr>
                <w:rFonts w:ascii="Times New Roman" w:hAnsi="Times New Roman"/>
                <w:b/>
                <w:sz w:val="24"/>
                <w:szCs w:val="24"/>
              </w:rPr>
            </w:pPr>
            <w:r w:rsidRPr="00AA624D">
              <w:rPr>
                <w:rFonts w:ascii="Times New Roman" w:hAnsi="Times New Roman"/>
                <w:b/>
                <w:sz w:val="24"/>
                <w:szCs w:val="24"/>
              </w:rPr>
              <w:t>Персонал службу збуту</w:t>
            </w:r>
          </w:p>
        </w:tc>
        <w:tc>
          <w:tcPr>
            <w:tcW w:w="1037"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21,60</w:t>
            </w:r>
          </w:p>
        </w:tc>
        <w:tc>
          <w:tcPr>
            <w:tcW w:w="151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312"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0,00</w:t>
            </w:r>
          </w:p>
        </w:tc>
        <w:tc>
          <w:tcPr>
            <w:tcW w:w="1389" w:type="dxa"/>
            <w:vAlign w:val="bottom"/>
          </w:tcPr>
          <w:p w:rsidR="00AA624D" w:rsidRPr="00AA624D" w:rsidRDefault="00AA624D" w:rsidP="00D12FAF">
            <w:pPr>
              <w:jc w:val="center"/>
              <w:rPr>
                <w:rFonts w:ascii="Times New Roman" w:hAnsi="Times New Roman"/>
                <w:b/>
                <w:bCs/>
                <w:sz w:val="24"/>
                <w:szCs w:val="24"/>
              </w:rPr>
            </w:pPr>
            <w:r w:rsidRPr="00AA624D">
              <w:rPr>
                <w:rFonts w:ascii="Times New Roman" w:hAnsi="Times New Roman"/>
                <w:b/>
                <w:bCs/>
                <w:sz w:val="24"/>
                <w:szCs w:val="24"/>
              </w:rPr>
              <w:t>21,60</w:t>
            </w:r>
          </w:p>
        </w:tc>
      </w:tr>
    </w:tbl>
    <w:p w:rsidR="00AA624D" w:rsidRPr="00AA624D" w:rsidRDefault="00AA624D" w:rsidP="00AA624D">
      <w:pPr>
        <w:pStyle w:val="a3"/>
        <w:ind w:firstLine="0"/>
        <w:jc w:val="both"/>
        <w:rPr>
          <w:b/>
          <w:szCs w:val="24"/>
        </w:rPr>
      </w:pPr>
    </w:p>
    <w:p w:rsidR="00AA624D" w:rsidRPr="00AA624D" w:rsidRDefault="00AA624D" w:rsidP="00AA624D">
      <w:pPr>
        <w:pStyle w:val="HTML"/>
        <w:tabs>
          <w:tab w:val="clear" w:pos="916"/>
          <w:tab w:val="left" w:pos="900"/>
        </w:tabs>
        <w:jc w:val="both"/>
        <w:rPr>
          <w:rFonts w:ascii="Times New Roman" w:hAnsi="Times New Roman" w:cs="Times New Roman"/>
          <w:sz w:val="24"/>
          <w:szCs w:val="24"/>
          <w:lang w:val="uk-UA"/>
        </w:rPr>
      </w:pPr>
      <w:r w:rsidRPr="00AA624D">
        <w:rPr>
          <w:rFonts w:ascii="Times New Roman" w:hAnsi="Times New Roman" w:cs="Times New Roman"/>
          <w:b/>
          <w:sz w:val="24"/>
          <w:szCs w:val="24"/>
          <w:lang w:val="uk-UA"/>
        </w:rPr>
        <w:tab/>
      </w:r>
      <w:r w:rsidRPr="00AA624D">
        <w:rPr>
          <w:rFonts w:ascii="Times New Roman" w:hAnsi="Times New Roman" w:cs="Times New Roman"/>
          <w:sz w:val="24"/>
          <w:szCs w:val="24"/>
          <w:lang w:val="uk-UA"/>
        </w:rPr>
        <w:t>Єдиний внесок на загальнообов’язкове державне соціальне страхування згідно до п.5 ст.8 Закону Украї</w:t>
      </w:r>
      <w:bookmarkStart w:id="5" w:name="2"/>
      <w:bookmarkEnd w:id="5"/>
      <w:r w:rsidRPr="00AA624D">
        <w:rPr>
          <w:rFonts w:ascii="Times New Roman" w:hAnsi="Times New Roman" w:cs="Times New Roman"/>
          <w:sz w:val="24"/>
          <w:szCs w:val="24"/>
          <w:lang w:val="uk-UA"/>
        </w:rPr>
        <w:t>ни «Про збір та облік єдиного внеску на загальнообов'язкове державне соціальне страхування» складає 22% від фонду оплати праці.</w:t>
      </w:r>
    </w:p>
    <w:p w:rsidR="00AA624D" w:rsidRPr="00AA624D" w:rsidRDefault="00AA624D" w:rsidP="00AA624D">
      <w:pPr>
        <w:pStyle w:val="HTML"/>
        <w:tabs>
          <w:tab w:val="clear" w:pos="916"/>
          <w:tab w:val="left" w:pos="900"/>
        </w:tabs>
        <w:jc w:val="both"/>
        <w:rPr>
          <w:rFonts w:ascii="Times New Roman" w:hAnsi="Times New Roman" w:cs="Times New Roman"/>
          <w:sz w:val="24"/>
          <w:szCs w:val="24"/>
          <w:lang w:val="uk-UA"/>
        </w:rPr>
      </w:pPr>
      <w:r w:rsidRPr="00AA624D">
        <w:rPr>
          <w:rFonts w:ascii="Times New Roman" w:hAnsi="Times New Roman" w:cs="Times New Roman"/>
          <w:sz w:val="24"/>
          <w:szCs w:val="24"/>
          <w:lang w:val="uk-UA"/>
        </w:rPr>
        <w:tab/>
        <w:t xml:space="preserve">Єдиний внесок </w:t>
      </w:r>
      <w:r w:rsidRPr="00AA624D">
        <w:rPr>
          <w:rFonts w:ascii="Times New Roman" w:hAnsi="Times New Roman" w:cs="Times New Roman"/>
          <w:sz w:val="24"/>
          <w:szCs w:val="24"/>
        </w:rPr>
        <w:t xml:space="preserve">на </w:t>
      </w:r>
      <w:proofErr w:type="spellStart"/>
      <w:r w:rsidRPr="00AA624D">
        <w:rPr>
          <w:rFonts w:ascii="Times New Roman" w:hAnsi="Times New Roman" w:cs="Times New Roman"/>
          <w:sz w:val="24"/>
          <w:szCs w:val="24"/>
        </w:rPr>
        <w:t>загальнообов’язкове</w:t>
      </w:r>
      <w:proofErr w:type="spellEnd"/>
      <w:r w:rsidRPr="00AA624D">
        <w:rPr>
          <w:rFonts w:ascii="Times New Roman" w:hAnsi="Times New Roman" w:cs="Times New Roman"/>
          <w:sz w:val="24"/>
          <w:szCs w:val="24"/>
          <w:lang w:val="uk-UA"/>
        </w:rPr>
        <w:t xml:space="preserve"> </w:t>
      </w:r>
      <w:proofErr w:type="spellStart"/>
      <w:r w:rsidRPr="00AA624D">
        <w:rPr>
          <w:rFonts w:ascii="Times New Roman" w:hAnsi="Times New Roman" w:cs="Times New Roman"/>
          <w:sz w:val="24"/>
          <w:szCs w:val="24"/>
        </w:rPr>
        <w:t>державне</w:t>
      </w:r>
      <w:proofErr w:type="spellEnd"/>
      <w:r w:rsidRPr="00AA624D">
        <w:rPr>
          <w:rFonts w:ascii="Times New Roman" w:hAnsi="Times New Roman" w:cs="Times New Roman"/>
          <w:sz w:val="24"/>
          <w:szCs w:val="24"/>
          <w:lang w:val="uk-UA"/>
        </w:rPr>
        <w:t xml:space="preserve"> </w:t>
      </w:r>
      <w:proofErr w:type="spellStart"/>
      <w:r w:rsidRPr="00AA624D">
        <w:rPr>
          <w:rFonts w:ascii="Times New Roman" w:hAnsi="Times New Roman" w:cs="Times New Roman"/>
          <w:sz w:val="24"/>
          <w:szCs w:val="24"/>
        </w:rPr>
        <w:t>соціальне</w:t>
      </w:r>
      <w:proofErr w:type="spellEnd"/>
      <w:r w:rsidRPr="00AA624D">
        <w:rPr>
          <w:rFonts w:ascii="Times New Roman" w:hAnsi="Times New Roman" w:cs="Times New Roman"/>
          <w:sz w:val="24"/>
          <w:szCs w:val="24"/>
          <w:lang w:val="uk-UA"/>
        </w:rPr>
        <w:t xml:space="preserve"> </w:t>
      </w:r>
      <w:proofErr w:type="spellStart"/>
      <w:r w:rsidRPr="00AA624D">
        <w:rPr>
          <w:rFonts w:ascii="Times New Roman" w:hAnsi="Times New Roman" w:cs="Times New Roman"/>
          <w:sz w:val="24"/>
          <w:szCs w:val="24"/>
        </w:rPr>
        <w:t>страхування</w:t>
      </w:r>
      <w:proofErr w:type="spellEnd"/>
      <w:r w:rsidRPr="00AA624D">
        <w:rPr>
          <w:rFonts w:ascii="Times New Roman" w:hAnsi="Times New Roman" w:cs="Times New Roman"/>
          <w:sz w:val="24"/>
          <w:szCs w:val="24"/>
          <w:lang w:val="uk-UA"/>
        </w:rPr>
        <w:t xml:space="preserve"> для інвалідів складає 8,41% від фонду оплату праці. На підприємстві працює 1 інвалід – прибиральниця службових приміщень.</w:t>
      </w:r>
    </w:p>
    <w:p w:rsidR="00AA624D" w:rsidRPr="00AA624D" w:rsidRDefault="00AA624D" w:rsidP="00AA624D">
      <w:pPr>
        <w:pStyle w:val="21"/>
        <w:ind w:left="0" w:firstLine="720"/>
        <w:jc w:val="both"/>
        <w:rPr>
          <w:b/>
          <w:szCs w:val="24"/>
        </w:rPr>
      </w:pPr>
      <w:r w:rsidRPr="00AA624D">
        <w:rPr>
          <w:szCs w:val="24"/>
        </w:rPr>
        <w:t xml:space="preserve">З урахуванням планових витрат на оплату праці, витрати на єдиний соціальний внесок, складають </w:t>
      </w:r>
      <w:r w:rsidRPr="00AA624D">
        <w:rPr>
          <w:b/>
          <w:szCs w:val="24"/>
        </w:rPr>
        <w:t>21,46тис. грн. на рік:</w:t>
      </w:r>
    </w:p>
    <w:p w:rsidR="00AA624D" w:rsidRPr="00AA624D" w:rsidRDefault="00AA624D" w:rsidP="00AA624D">
      <w:pPr>
        <w:pStyle w:val="21"/>
        <w:ind w:left="0" w:firstLine="720"/>
        <w:jc w:val="both"/>
        <w:rPr>
          <w:b/>
          <w:szCs w:val="24"/>
        </w:rPr>
      </w:pPr>
    </w:p>
    <w:tbl>
      <w:tblPr>
        <w:tblW w:w="102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3506"/>
        <w:gridCol w:w="1037"/>
        <w:gridCol w:w="1519"/>
        <w:gridCol w:w="1312"/>
        <w:gridCol w:w="1529"/>
        <w:gridCol w:w="1389"/>
      </w:tblGrid>
      <w:tr w:rsidR="00AA624D" w:rsidRPr="00AA624D" w:rsidTr="00D12FAF">
        <w:trPr>
          <w:trHeight w:val="855"/>
        </w:trPr>
        <w:tc>
          <w:tcPr>
            <w:tcW w:w="3506" w:type="dxa"/>
            <w:vAlign w:val="center"/>
          </w:tcPr>
          <w:p w:rsidR="00AA624D" w:rsidRPr="00AA624D" w:rsidRDefault="00AA624D" w:rsidP="00D12FAF">
            <w:pPr>
              <w:spacing w:after="0" w:line="240" w:lineRule="auto"/>
              <w:rPr>
                <w:rFonts w:ascii="Times New Roman" w:hAnsi="Times New Roman"/>
                <w:b/>
                <w:bCs/>
                <w:sz w:val="24"/>
                <w:szCs w:val="24"/>
                <w:lang w:eastAsia="uk-UA"/>
              </w:rPr>
            </w:pPr>
            <w:r w:rsidRPr="00AA624D">
              <w:rPr>
                <w:rFonts w:ascii="Times New Roman" w:hAnsi="Times New Roman"/>
                <w:b/>
                <w:bCs/>
                <w:sz w:val="24"/>
                <w:szCs w:val="24"/>
                <w:lang w:eastAsia="uk-UA"/>
              </w:rPr>
              <w:t xml:space="preserve">Внески на загальнообов'язкове державне соціальне страхування працівників, </w:t>
            </w:r>
            <w:proofErr w:type="spellStart"/>
            <w:r w:rsidRPr="00AA624D">
              <w:rPr>
                <w:rFonts w:ascii="Times New Roman" w:hAnsi="Times New Roman"/>
                <w:b/>
                <w:bCs/>
                <w:sz w:val="24"/>
                <w:szCs w:val="24"/>
                <w:lang w:eastAsia="uk-UA"/>
              </w:rPr>
              <w:t>ут.ч</w:t>
            </w:r>
            <w:proofErr w:type="spellEnd"/>
            <w:r w:rsidRPr="00AA624D">
              <w:rPr>
                <w:rFonts w:ascii="Times New Roman" w:hAnsi="Times New Roman"/>
                <w:b/>
                <w:bCs/>
                <w:sz w:val="24"/>
                <w:szCs w:val="24"/>
                <w:lang w:eastAsia="uk-UA"/>
              </w:rPr>
              <w:t>.:</w:t>
            </w:r>
          </w:p>
        </w:tc>
        <w:tc>
          <w:tcPr>
            <w:tcW w:w="1037" w:type="dxa"/>
            <w:noWrap/>
            <w:vAlign w:val="center"/>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lang w:eastAsia="uk-UA"/>
              </w:rPr>
              <w:t>Всього</w:t>
            </w:r>
          </w:p>
        </w:tc>
        <w:tc>
          <w:tcPr>
            <w:tcW w:w="1519" w:type="dxa"/>
            <w:noWrap/>
            <w:vAlign w:val="center"/>
          </w:tcPr>
          <w:p w:rsidR="00AA624D" w:rsidRPr="00AA624D" w:rsidRDefault="00AA624D" w:rsidP="00D12FAF">
            <w:pPr>
              <w:spacing w:after="0" w:line="240" w:lineRule="auto"/>
              <w:jc w:val="center"/>
              <w:rPr>
                <w:rFonts w:ascii="Times New Roman" w:hAnsi="Times New Roman"/>
                <w:b/>
                <w:sz w:val="24"/>
                <w:szCs w:val="24"/>
              </w:rPr>
            </w:pPr>
            <w:proofErr w:type="spellStart"/>
            <w:r w:rsidRPr="00AA624D">
              <w:rPr>
                <w:rFonts w:ascii="Times New Roman" w:hAnsi="Times New Roman"/>
                <w:b/>
                <w:sz w:val="24"/>
                <w:szCs w:val="24"/>
              </w:rPr>
              <w:t>Вироб-во</w:t>
            </w:r>
            <w:proofErr w:type="spellEnd"/>
            <w:r w:rsidRPr="00AA624D">
              <w:rPr>
                <w:rFonts w:ascii="Times New Roman" w:hAnsi="Times New Roman"/>
                <w:b/>
                <w:sz w:val="24"/>
                <w:szCs w:val="24"/>
              </w:rPr>
              <w:t xml:space="preserve"> ТЕ (котельня)</w:t>
            </w:r>
          </w:p>
        </w:tc>
        <w:tc>
          <w:tcPr>
            <w:tcW w:w="1312" w:type="dxa"/>
            <w:noWrap/>
            <w:vAlign w:val="center"/>
          </w:tcPr>
          <w:p w:rsidR="00AA624D" w:rsidRPr="00AA624D" w:rsidRDefault="00AA624D" w:rsidP="00D12FAF">
            <w:pPr>
              <w:spacing w:after="0" w:line="240" w:lineRule="auto"/>
              <w:jc w:val="center"/>
              <w:rPr>
                <w:rFonts w:ascii="Times New Roman" w:hAnsi="Times New Roman"/>
                <w:b/>
                <w:sz w:val="24"/>
                <w:szCs w:val="24"/>
              </w:rPr>
            </w:pPr>
            <w:proofErr w:type="spellStart"/>
            <w:r w:rsidRPr="00AA624D">
              <w:rPr>
                <w:rFonts w:ascii="Times New Roman" w:hAnsi="Times New Roman"/>
                <w:b/>
                <w:sz w:val="24"/>
                <w:szCs w:val="24"/>
              </w:rPr>
              <w:t>Тран-ня</w:t>
            </w:r>
            <w:proofErr w:type="spellEnd"/>
            <w:r w:rsidRPr="00AA624D">
              <w:rPr>
                <w:rFonts w:ascii="Times New Roman" w:hAnsi="Times New Roman"/>
                <w:b/>
                <w:sz w:val="24"/>
                <w:szCs w:val="24"/>
              </w:rPr>
              <w:t xml:space="preserve"> ТЕ (т/мережі)</w:t>
            </w:r>
          </w:p>
        </w:tc>
        <w:tc>
          <w:tcPr>
            <w:tcW w:w="1529" w:type="dxa"/>
            <w:noWrap/>
            <w:vAlign w:val="center"/>
          </w:tcPr>
          <w:p w:rsidR="00AA624D" w:rsidRPr="00AA624D" w:rsidRDefault="00AA624D" w:rsidP="00D12FAF">
            <w:pPr>
              <w:spacing w:after="0" w:line="240" w:lineRule="auto"/>
              <w:jc w:val="center"/>
              <w:rPr>
                <w:rFonts w:ascii="Times New Roman" w:hAnsi="Times New Roman"/>
                <w:b/>
                <w:sz w:val="24"/>
                <w:szCs w:val="24"/>
              </w:rPr>
            </w:pPr>
            <w:r w:rsidRPr="00AA624D">
              <w:rPr>
                <w:rFonts w:ascii="Times New Roman" w:hAnsi="Times New Roman"/>
                <w:b/>
                <w:sz w:val="24"/>
                <w:szCs w:val="24"/>
              </w:rPr>
              <w:t>Постачання ТЕ (ІТП)</w:t>
            </w:r>
          </w:p>
        </w:tc>
        <w:tc>
          <w:tcPr>
            <w:tcW w:w="1389" w:type="dxa"/>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rPr>
              <w:t>Надання послуг з ЦО населенню</w:t>
            </w:r>
          </w:p>
        </w:tc>
      </w:tr>
      <w:tr w:rsidR="00AA624D" w:rsidRPr="00AA624D" w:rsidTr="00D12FAF">
        <w:trPr>
          <w:trHeight w:val="219"/>
        </w:trPr>
        <w:tc>
          <w:tcPr>
            <w:tcW w:w="3506" w:type="dxa"/>
            <w:noWrap/>
            <w:vAlign w:val="center"/>
          </w:tcPr>
          <w:p w:rsidR="00AA624D" w:rsidRPr="00AA624D" w:rsidRDefault="00AA624D" w:rsidP="00D12FAF">
            <w:pPr>
              <w:spacing w:after="0" w:line="240" w:lineRule="auto"/>
              <w:rPr>
                <w:rFonts w:ascii="Times New Roman" w:hAnsi="Times New Roman"/>
                <w:b/>
                <w:sz w:val="24"/>
                <w:szCs w:val="24"/>
                <w:lang w:eastAsia="uk-UA"/>
              </w:rPr>
            </w:pPr>
            <w:r w:rsidRPr="00AA624D">
              <w:rPr>
                <w:rFonts w:ascii="Times New Roman" w:hAnsi="Times New Roman"/>
                <w:b/>
                <w:sz w:val="24"/>
                <w:szCs w:val="24"/>
              </w:rPr>
              <w:t>Виробничий персонал</w:t>
            </w:r>
          </w:p>
        </w:tc>
        <w:tc>
          <w:tcPr>
            <w:tcW w:w="1037"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9,24</w:t>
            </w:r>
          </w:p>
        </w:tc>
        <w:tc>
          <w:tcPr>
            <w:tcW w:w="151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4,62</w:t>
            </w:r>
          </w:p>
        </w:tc>
        <w:tc>
          <w:tcPr>
            <w:tcW w:w="1312"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4,62</w:t>
            </w:r>
          </w:p>
        </w:tc>
        <w:tc>
          <w:tcPr>
            <w:tcW w:w="1389" w:type="dxa"/>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r>
      <w:tr w:rsidR="00AA624D" w:rsidRPr="00AA624D" w:rsidTr="00D12FAF">
        <w:trPr>
          <w:trHeight w:val="117"/>
        </w:trPr>
        <w:tc>
          <w:tcPr>
            <w:tcW w:w="3506" w:type="dxa"/>
            <w:noWrap/>
            <w:vAlign w:val="center"/>
          </w:tcPr>
          <w:p w:rsidR="00AA624D" w:rsidRPr="00AA624D" w:rsidRDefault="00AA624D" w:rsidP="00D12FAF">
            <w:pPr>
              <w:spacing w:after="0"/>
              <w:rPr>
                <w:rFonts w:ascii="Times New Roman" w:hAnsi="Times New Roman"/>
                <w:b/>
                <w:sz w:val="24"/>
                <w:szCs w:val="24"/>
              </w:rPr>
            </w:pPr>
            <w:r w:rsidRPr="00AA624D">
              <w:rPr>
                <w:rFonts w:ascii="Times New Roman" w:hAnsi="Times New Roman"/>
                <w:b/>
                <w:sz w:val="24"/>
                <w:szCs w:val="24"/>
              </w:rPr>
              <w:t>Загальновиробничий персонал</w:t>
            </w:r>
          </w:p>
        </w:tc>
        <w:tc>
          <w:tcPr>
            <w:tcW w:w="1037"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3,21</w:t>
            </w:r>
          </w:p>
        </w:tc>
        <w:tc>
          <w:tcPr>
            <w:tcW w:w="151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3,07</w:t>
            </w:r>
          </w:p>
        </w:tc>
        <w:tc>
          <w:tcPr>
            <w:tcW w:w="1312"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0,15</w:t>
            </w:r>
          </w:p>
        </w:tc>
        <w:tc>
          <w:tcPr>
            <w:tcW w:w="1389" w:type="dxa"/>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1,61</w:t>
            </w:r>
          </w:p>
        </w:tc>
      </w:tr>
      <w:tr w:rsidR="00AA624D" w:rsidRPr="00AA624D" w:rsidTr="00D12FAF">
        <w:trPr>
          <w:trHeight w:val="270"/>
        </w:trPr>
        <w:tc>
          <w:tcPr>
            <w:tcW w:w="3506" w:type="dxa"/>
            <w:noWrap/>
            <w:vAlign w:val="center"/>
          </w:tcPr>
          <w:p w:rsidR="00AA624D" w:rsidRPr="00AA624D" w:rsidRDefault="00AA624D" w:rsidP="00D12FAF">
            <w:pPr>
              <w:spacing w:after="0"/>
              <w:rPr>
                <w:rFonts w:ascii="Times New Roman" w:hAnsi="Times New Roman"/>
                <w:b/>
                <w:sz w:val="24"/>
                <w:szCs w:val="24"/>
              </w:rPr>
            </w:pPr>
            <w:r w:rsidRPr="00AA624D">
              <w:rPr>
                <w:rFonts w:ascii="Times New Roman" w:hAnsi="Times New Roman"/>
                <w:b/>
                <w:sz w:val="24"/>
                <w:szCs w:val="24"/>
              </w:rPr>
              <w:t>Адміністративний персонал</w:t>
            </w:r>
          </w:p>
        </w:tc>
        <w:tc>
          <w:tcPr>
            <w:tcW w:w="1037"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4,26</w:t>
            </w:r>
          </w:p>
        </w:tc>
        <w:tc>
          <w:tcPr>
            <w:tcW w:w="151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4,07</w:t>
            </w:r>
          </w:p>
        </w:tc>
        <w:tc>
          <w:tcPr>
            <w:tcW w:w="1312"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0,19</w:t>
            </w:r>
          </w:p>
        </w:tc>
        <w:tc>
          <w:tcPr>
            <w:tcW w:w="1389" w:type="dxa"/>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2,13</w:t>
            </w:r>
          </w:p>
        </w:tc>
      </w:tr>
      <w:tr w:rsidR="00AA624D" w:rsidRPr="00AA624D" w:rsidTr="00D12FAF">
        <w:trPr>
          <w:trHeight w:val="301"/>
        </w:trPr>
        <w:tc>
          <w:tcPr>
            <w:tcW w:w="3506" w:type="dxa"/>
            <w:noWrap/>
            <w:vAlign w:val="center"/>
          </w:tcPr>
          <w:p w:rsidR="00AA624D" w:rsidRPr="00AA624D" w:rsidRDefault="00AA624D" w:rsidP="00D12FAF">
            <w:pPr>
              <w:spacing w:after="0"/>
              <w:rPr>
                <w:rFonts w:ascii="Times New Roman" w:hAnsi="Times New Roman"/>
                <w:b/>
                <w:sz w:val="24"/>
                <w:szCs w:val="24"/>
                <w:highlight w:val="yellow"/>
              </w:rPr>
            </w:pPr>
            <w:r w:rsidRPr="00AA624D">
              <w:rPr>
                <w:rFonts w:ascii="Times New Roman" w:hAnsi="Times New Roman"/>
                <w:b/>
                <w:sz w:val="24"/>
                <w:szCs w:val="24"/>
              </w:rPr>
              <w:t>Персонал служби збуту</w:t>
            </w:r>
          </w:p>
        </w:tc>
        <w:tc>
          <w:tcPr>
            <w:tcW w:w="1037"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4,75</w:t>
            </w:r>
          </w:p>
        </w:tc>
        <w:tc>
          <w:tcPr>
            <w:tcW w:w="151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312"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52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389" w:type="dxa"/>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4,75</w:t>
            </w:r>
          </w:p>
        </w:tc>
      </w:tr>
    </w:tbl>
    <w:p w:rsidR="00AA624D" w:rsidRPr="00AA624D" w:rsidRDefault="00AA624D" w:rsidP="00AA624D">
      <w:pPr>
        <w:pStyle w:val="2"/>
        <w:ind w:left="720"/>
        <w:rPr>
          <w:sz w:val="24"/>
          <w:szCs w:val="24"/>
        </w:rPr>
      </w:pPr>
      <w:bookmarkStart w:id="6" w:name="_Toc418451104"/>
    </w:p>
    <w:p w:rsidR="00AA624D" w:rsidRPr="00AA624D" w:rsidRDefault="00AA624D" w:rsidP="00AA624D">
      <w:pPr>
        <w:pStyle w:val="2"/>
        <w:numPr>
          <w:ilvl w:val="0"/>
          <w:numId w:val="10"/>
        </w:numPr>
        <w:rPr>
          <w:sz w:val="24"/>
          <w:szCs w:val="24"/>
        </w:rPr>
      </w:pPr>
      <w:r w:rsidRPr="00AA624D">
        <w:rPr>
          <w:sz w:val="24"/>
          <w:szCs w:val="24"/>
        </w:rPr>
        <w:t>Стаття витрат «Інші прямі витрати» .</w:t>
      </w:r>
      <w:bookmarkEnd w:id="6"/>
    </w:p>
    <w:p w:rsidR="00AA624D" w:rsidRPr="00AA624D" w:rsidRDefault="00AA624D" w:rsidP="00AA624D">
      <w:pPr>
        <w:spacing w:before="120" w:after="120" w:line="240" w:lineRule="auto"/>
        <w:ind w:firstLine="708"/>
        <w:jc w:val="both"/>
        <w:rPr>
          <w:rFonts w:ascii="Times New Roman" w:hAnsi="Times New Roman"/>
          <w:iCs/>
          <w:sz w:val="24"/>
          <w:szCs w:val="24"/>
        </w:rPr>
      </w:pPr>
      <w:r w:rsidRPr="00AA624D">
        <w:rPr>
          <w:rFonts w:ascii="Times New Roman" w:hAnsi="Times New Roman"/>
          <w:iCs/>
          <w:sz w:val="24"/>
          <w:szCs w:val="24"/>
        </w:rPr>
        <w:t>Оскільки, котельня не є власністю підприємства, а експлуатується на умовах операційної оренди, підприємство не має підстав для нарахування амортизації та включення витрат на реконструкцію.</w:t>
      </w:r>
    </w:p>
    <w:p w:rsidR="00AA624D" w:rsidRPr="00AA624D" w:rsidRDefault="00AA624D" w:rsidP="00AA624D">
      <w:pPr>
        <w:spacing w:before="120" w:after="120" w:line="240" w:lineRule="auto"/>
        <w:ind w:firstLine="708"/>
        <w:jc w:val="both"/>
        <w:rPr>
          <w:rFonts w:ascii="Times New Roman" w:hAnsi="Times New Roman"/>
          <w:iCs/>
          <w:sz w:val="24"/>
          <w:szCs w:val="24"/>
        </w:rPr>
      </w:pPr>
      <w:r w:rsidRPr="00AA624D">
        <w:rPr>
          <w:rFonts w:ascii="Times New Roman" w:hAnsi="Times New Roman"/>
          <w:iCs/>
          <w:sz w:val="24"/>
          <w:szCs w:val="24"/>
        </w:rPr>
        <w:t xml:space="preserve">До </w:t>
      </w:r>
      <w:r w:rsidRPr="00AA624D">
        <w:rPr>
          <w:rFonts w:ascii="Times New Roman" w:hAnsi="Times New Roman"/>
          <w:iCs/>
          <w:sz w:val="24"/>
          <w:szCs w:val="24"/>
          <w:u w:val="single"/>
        </w:rPr>
        <w:t>інших прямих витрат діяльності з виробництва теплової енергії</w:t>
      </w:r>
      <w:r w:rsidRPr="00AA624D">
        <w:rPr>
          <w:rFonts w:ascii="Times New Roman" w:hAnsi="Times New Roman"/>
          <w:iCs/>
          <w:sz w:val="24"/>
          <w:szCs w:val="24"/>
        </w:rPr>
        <w:t xml:space="preserve"> включені:</w:t>
      </w:r>
    </w:p>
    <w:p w:rsidR="00AA624D" w:rsidRPr="00AA624D" w:rsidRDefault="00AA624D" w:rsidP="00AA624D">
      <w:pPr>
        <w:spacing w:before="120" w:after="120" w:line="240" w:lineRule="auto"/>
        <w:ind w:firstLine="708"/>
        <w:jc w:val="both"/>
        <w:rPr>
          <w:rFonts w:ascii="Times New Roman" w:hAnsi="Times New Roman"/>
          <w:sz w:val="24"/>
          <w:szCs w:val="24"/>
        </w:rPr>
      </w:pPr>
      <w:r w:rsidRPr="00AA624D">
        <w:rPr>
          <w:rFonts w:ascii="Times New Roman" w:hAnsi="Times New Roman"/>
          <w:iCs/>
          <w:sz w:val="24"/>
          <w:szCs w:val="24"/>
        </w:rPr>
        <w:t xml:space="preserve">- витрати на оренду котельні в сумі 72 </w:t>
      </w:r>
      <w:proofErr w:type="spellStart"/>
      <w:r w:rsidRPr="00AA624D">
        <w:rPr>
          <w:rFonts w:ascii="Times New Roman" w:hAnsi="Times New Roman"/>
          <w:iCs/>
          <w:sz w:val="24"/>
          <w:szCs w:val="24"/>
        </w:rPr>
        <w:t>тис.грн</w:t>
      </w:r>
      <w:proofErr w:type="spellEnd"/>
      <w:r w:rsidRPr="00AA624D">
        <w:rPr>
          <w:rFonts w:ascii="Times New Roman" w:hAnsi="Times New Roman"/>
          <w:iCs/>
          <w:sz w:val="24"/>
          <w:szCs w:val="24"/>
        </w:rPr>
        <w:t xml:space="preserve"> згідно </w:t>
      </w:r>
      <w:r w:rsidRPr="00AA624D">
        <w:rPr>
          <w:rFonts w:ascii="Times New Roman" w:hAnsi="Times New Roman"/>
          <w:sz w:val="24"/>
          <w:szCs w:val="24"/>
        </w:rPr>
        <w:t>договору оренди №1/11-14 від 28 листопада 2014р.</w:t>
      </w:r>
    </w:p>
    <w:p w:rsidR="00AA624D" w:rsidRPr="00AA624D" w:rsidRDefault="00AA624D" w:rsidP="00AA624D">
      <w:pPr>
        <w:spacing w:before="120" w:after="120" w:line="240" w:lineRule="auto"/>
        <w:ind w:firstLine="708"/>
        <w:jc w:val="both"/>
        <w:rPr>
          <w:rFonts w:ascii="Times New Roman" w:hAnsi="Times New Roman"/>
          <w:sz w:val="24"/>
          <w:szCs w:val="24"/>
        </w:rPr>
      </w:pPr>
      <w:r w:rsidRPr="00AA624D">
        <w:rPr>
          <w:rFonts w:ascii="Times New Roman" w:hAnsi="Times New Roman"/>
          <w:sz w:val="24"/>
          <w:szCs w:val="24"/>
        </w:rPr>
        <w:t>- витрати на ремонти - 33,36тис.грн. До статті витрат включені матеріали, для ремонтів, що виконувались власними силами та послуги з ремонту від підрядних організацій. Витрати визначені за фактом 2016р. та підтверджені договорами, первинною документацією та актами списання.</w:t>
      </w:r>
    </w:p>
    <w:p w:rsidR="00AA624D" w:rsidRPr="00AA624D" w:rsidRDefault="00AA624D" w:rsidP="00AA624D">
      <w:pPr>
        <w:spacing w:before="120" w:after="120" w:line="240" w:lineRule="auto"/>
        <w:ind w:firstLine="708"/>
        <w:jc w:val="both"/>
        <w:rPr>
          <w:rFonts w:ascii="Times New Roman" w:hAnsi="Times New Roman"/>
          <w:iCs/>
          <w:sz w:val="24"/>
          <w:szCs w:val="24"/>
        </w:rPr>
      </w:pPr>
      <w:r w:rsidRPr="00AA624D">
        <w:rPr>
          <w:rFonts w:ascii="Times New Roman" w:hAnsi="Times New Roman"/>
          <w:iCs/>
          <w:sz w:val="24"/>
          <w:szCs w:val="24"/>
        </w:rPr>
        <w:t xml:space="preserve">До </w:t>
      </w:r>
      <w:r w:rsidRPr="00AA624D">
        <w:rPr>
          <w:rFonts w:ascii="Times New Roman" w:hAnsi="Times New Roman"/>
          <w:iCs/>
          <w:sz w:val="24"/>
          <w:szCs w:val="24"/>
          <w:u w:val="single"/>
        </w:rPr>
        <w:t>інших прямих витрат діяльності з постачання теплової енергії</w:t>
      </w:r>
      <w:r w:rsidRPr="00AA624D">
        <w:rPr>
          <w:rFonts w:ascii="Times New Roman" w:hAnsi="Times New Roman"/>
          <w:iCs/>
          <w:sz w:val="24"/>
          <w:szCs w:val="24"/>
        </w:rPr>
        <w:t xml:space="preserve"> включені:</w:t>
      </w:r>
    </w:p>
    <w:p w:rsidR="00AA624D" w:rsidRPr="00AA624D" w:rsidRDefault="00AA624D" w:rsidP="00AA624D">
      <w:pPr>
        <w:spacing w:before="120" w:after="120" w:line="240" w:lineRule="auto"/>
        <w:ind w:firstLine="708"/>
        <w:jc w:val="both"/>
        <w:rPr>
          <w:rFonts w:ascii="Times New Roman" w:hAnsi="Times New Roman"/>
          <w:iCs/>
          <w:sz w:val="24"/>
          <w:szCs w:val="24"/>
        </w:rPr>
      </w:pPr>
      <w:proofErr w:type="spellStart"/>
      <w:r w:rsidRPr="00AA624D">
        <w:rPr>
          <w:rFonts w:ascii="Times New Roman" w:hAnsi="Times New Roman"/>
          <w:iCs/>
          <w:sz w:val="24"/>
          <w:szCs w:val="24"/>
        </w:rPr>
        <w:t>-витрати</w:t>
      </w:r>
      <w:proofErr w:type="spellEnd"/>
      <w:r w:rsidRPr="00AA624D">
        <w:rPr>
          <w:rFonts w:ascii="Times New Roman" w:hAnsi="Times New Roman"/>
          <w:iCs/>
          <w:sz w:val="24"/>
          <w:szCs w:val="24"/>
        </w:rPr>
        <w:t xml:space="preserve"> на повірку 5 теплових лічильників в ІТП житлового будинку по вул. Саксаганського 70А – 5,75тис.грн, </w:t>
      </w:r>
      <w:proofErr w:type="spellStart"/>
      <w:r w:rsidRPr="00AA624D">
        <w:rPr>
          <w:rFonts w:ascii="Times New Roman" w:hAnsi="Times New Roman"/>
          <w:iCs/>
          <w:sz w:val="24"/>
          <w:szCs w:val="24"/>
        </w:rPr>
        <w:t>міжповірочний</w:t>
      </w:r>
      <w:proofErr w:type="spellEnd"/>
      <w:r w:rsidRPr="00AA624D">
        <w:rPr>
          <w:rFonts w:ascii="Times New Roman" w:hAnsi="Times New Roman"/>
          <w:iCs/>
          <w:sz w:val="24"/>
          <w:szCs w:val="24"/>
        </w:rPr>
        <w:t xml:space="preserve"> інтервал яких 4 роки. Згідно договору  №371 від 27 травня 2014 року з ПП «Модуль» загальна вартість повірки 27600 </w:t>
      </w:r>
      <w:proofErr w:type="spellStart"/>
      <w:r w:rsidRPr="00AA624D">
        <w:rPr>
          <w:rFonts w:ascii="Times New Roman" w:hAnsi="Times New Roman"/>
          <w:iCs/>
          <w:sz w:val="24"/>
          <w:szCs w:val="24"/>
        </w:rPr>
        <w:t>грн</w:t>
      </w:r>
      <w:proofErr w:type="spellEnd"/>
      <w:r w:rsidRPr="00AA624D">
        <w:rPr>
          <w:rFonts w:ascii="Times New Roman" w:hAnsi="Times New Roman"/>
          <w:iCs/>
          <w:sz w:val="24"/>
          <w:szCs w:val="24"/>
        </w:rPr>
        <w:t xml:space="preserve"> з ПДВ.</w:t>
      </w:r>
    </w:p>
    <w:p w:rsidR="00AA624D" w:rsidRPr="00AA624D" w:rsidRDefault="00AA624D" w:rsidP="00AA624D">
      <w:pPr>
        <w:spacing w:before="120" w:after="120" w:line="240" w:lineRule="auto"/>
        <w:ind w:firstLine="708"/>
        <w:jc w:val="both"/>
        <w:rPr>
          <w:rFonts w:ascii="Times New Roman" w:hAnsi="Times New Roman"/>
          <w:sz w:val="24"/>
          <w:szCs w:val="24"/>
        </w:rPr>
      </w:pPr>
      <w:r w:rsidRPr="00AA624D">
        <w:rPr>
          <w:rFonts w:ascii="Times New Roman" w:hAnsi="Times New Roman"/>
          <w:sz w:val="24"/>
          <w:szCs w:val="24"/>
        </w:rPr>
        <w:t>Таким чином, інші прямі витрати складають в тарифі на теплову енергію111,11 тис. грн.</w:t>
      </w:r>
    </w:p>
    <w:p w:rsidR="00AA624D" w:rsidRPr="00AA624D" w:rsidRDefault="00AA624D" w:rsidP="00AA624D">
      <w:pPr>
        <w:pStyle w:val="1"/>
        <w:tabs>
          <w:tab w:val="left" w:pos="426"/>
        </w:tabs>
        <w:spacing w:before="120" w:after="120"/>
        <w:rPr>
          <w:rFonts w:ascii="Times New Roman" w:hAnsi="Times New Roman"/>
          <w:sz w:val="24"/>
          <w:szCs w:val="24"/>
        </w:rPr>
      </w:pPr>
      <w:r w:rsidRPr="00AA624D">
        <w:rPr>
          <w:rFonts w:ascii="Times New Roman" w:hAnsi="Times New Roman"/>
          <w:sz w:val="24"/>
          <w:szCs w:val="24"/>
        </w:rPr>
        <w:lastRenderedPageBreak/>
        <w:t>Динаміка зміни планових тарифів в порівнянні з діючими наведена нижче:</w:t>
      </w:r>
    </w:p>
    <w:p w:rsidR="00AA624D" w:rsidRPr="00AA624D" w:rsidRDefault="00AA624D" w:rsidP="00AA624D">
      <w:pPr>
        <w:pStyle w:val="1"/>
        <w:tabs>
          <w:tab w:val="left" w:pos="-284"/>
          <w:tab w:val="left" w:pos="426"/>
        </w:tabs>
        <w:spacing w:before="120" w:after="120"/>
        <w:ind w:left="-284" w:hanging="284"/>
        <w:rPr>
          <w:rFonts w:ascii="Times New Roman" w:hAnsi="Times New Roman"/>
          <w:sz w:val="24"/>
          <w:szCs w:val="24"/>
        </w:rPr>
      </w:pPr>
      <w:r w:rsidRPr="00AA624D">
        <w:rPr>
          <w:rFonts w:ascii="Times New Roman" w:hAnsi="Times New Roman"/>
          <w:noProof/>
          <w:sz w:val="24"/>
          <w:szCs w:val="24"/>
          <w:lang w:eastAsia="uk-UA"/>
        </w:rPr>
        <w:drawing>
          <wp:inline distT="0" distB="0" distL="0" distR="0">
            <wp:extent cx="6979920" cy="27279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9920" cy="2727960"/>
                    </a:xfrm>
                    <a:prstGeom prst="rect">
                      <a:avLst/>
                    </a:prstGeom>
                    <a:noFill/>
                    <a:ln>
                      <a:noFill/>
                    </a:ln>
                  </pic:spPr>
                </pic:pic>
              </a:graphicData>
            </a:graphic>
          </wp:inline>
        </w:drawing>
      </w:r>
    </w:p>
    <w:p w:rsidR="00AA624D" w:rsidRPr="00AA624D" w:rsidRDefault="00AA624D" w:rsidP="00AA624D">
      <w:pPr>
        <w:pStyle w:val="2"/>
        <w:numPr>
          <w:ilvl w:val="0"/>
          <w:numId w:val="10"/>
        </w:numPr>
        <w:spacing w:before="0" w:after="0"/>
        <w:rPr>
          <w:sz w:val="24"/>
          <w:szCs w:val="24"/>
        </w:rPr>
      </w:pPr>
      <w:bookmarkStart w:id="7" w:name="_Toc418451105"/>
      <w:proofErr w:type="spellStart"/>
      <w:r w:rsidRPr="00AA624D">
        <w:rPr>
          <w:sz w:val="24"/>
          <w:szCs w:val="24"/>
        </w:rPr>
        <w:t>Стаття«Загальновиробничі</w:t>
      </w:r>
      <w:proofErr w:type="spellEnd"/>
      <w:r w:rsidRPr="00AA624D">
        <w:rPr>
          <w:sz w:val="24"/>
          <w:szCs w:val="24"/>
        </w:rPr>
        <w:t xml:space="preserve"> витрат</w:t>
      </w:r>
      <w:bookmarkEnd w:id="7"/>
      <w:r w:rsidRPr="00AA624D">
        <w:rPr>
          <w:sz w:val="24"/>
          <w:szCs w:val="24"/>
        </w:rPr>
        <w:t>и»</w:t>
      </w:r>
    </w:p>
    <w:p w:rsidR="00AA624D" w:rsidRPr="00AA624D" w:rsidRDefault="00AA624D" w:rsidP="00AA624D">
      <w:pPr>
        <w:rPr>
          <w:rFonts w:ascii="Times New Roman" w:hAnsi="Times New Roman"/>
          <w:sz w:val="24"/>
          <w:szCs w:val="24"/>
          <w:lang w:eastAsia="ru-RU"/>
        </w:rPr>
      </w:pPr>
    </w:p>
    <w:p w:rsidR="00AA624D" w:rsidRPr="00AA624D" w:rsidRDefault="00AA624D" w:rsidP="00AA624D">
      <w:pPr>
        <w:pStyle w:val="HTML"/>
        <w:tabs>
          <w:tab w:val="clear" w:pos="916"/>
          <w:tab w:val="left" w:pos="720"/>
        </w:tabs>
        <w:ind w:firstLine="539"/>
        <w:jc w:val="both"/>
        <w:rPr>
          <w:rFonts w:ascii="Times New Roman" w:hAnsi="Times New Roman" w:cs="Times New Roman"/>
          <w:sz w:val="24"/>
          <w:szCs w:val="24"/>
          <w:lang w:val="uk-UA"/>
        </w:rPr>
      </w:pPr>
      <w:r w:rsidRPr="00AA624D">
        <w:rPr>
          <w:rFonts w:ascii="Times New Roman" w:hAnsi="Times New Roman" w:cs="Times New Roman"/>
          <w:sz w:val="24"/>
          <w:szCs w:val="24"/>
          <w:lang w:val="uk-UA"/>
        </w:rPr>
        <w:t>До розрахунку загальновиробничих планових витрат включені витрати на заробітну плату загальновиробничого персоналу, внески на соціальне страхування загальновиробничого персоналу, охорону праці, технічне обслуговування та інші витрати.</w:t>
      </w:r>
    </w:p>
    <w:p w:rsidR="00AA624D" w:rsidRPr="00AA624D" w:rsidRDefault="00AA624D" w:rsidP="00AA624D">
      <w:pPr>
        <w:spacing w:before="120" w:after="120" w:line="240" w:lineRule="auto"/>
        <w:ind w:firstLineChars="200" w:firstLine="480"/>
        <w:jc w:val="both"/>
        <w:rPr>
          <w:rFonts w:ascii="Times New Roman" w:hAnsi="Times New Roman"/>
          <w:iCs/>
          <w:sz w:val="24"/>
          <w:szCs w:val="24"/>
        </w:rPr>
      </w:pPr>
      <w:r w:rsidRPr="00AA624D">
        <w:rPr>
          <w:rFonts w:ascii="Times New Roman" w:hAnsi="Times New Roman"/>
          <w:iCs/>
          <w:sz w:val="24"/>
          <w:szCs w:val="24"/>
        </w:rPr>
        <w:t>До інших загальновиробничих витрат відносяться:</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витрати охорону праці – 7,76тис.грн.:</w:t>
      </w:r>
    </w:p>
    <w:p w:rsidR="00AA624D" w:rsidRPr="00AA624D" w:rsidRDefault="00AA624D" w:rsidP="00AA624D">
      <w:pPr>
        <w:pStyle w:val="a5"/>
        <w:numPr>
          <w:ilvl w:val="0"/>
          <w:numId w:val="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витрати на спецодяг. Строк служби спецодягу та найменування визначені Згідно Наказу МНСМ від 10.12.2012р. N1389 "Про затвердження Норм безоплатної видачі спеціального одягу, спеціального взуття та інших засобів" індивідуального захисту працівникам житлово-комунального господарства", ціни та кількість на спецодяг визначені за фактом 2016року і підтверджені видатковими накладними.</w:t>
      </w:r>
    </w:p>
    <w:p w:rsidR="00AA624D" w:rsidRPr="00AA624D" w:rsidRDefault="00AA624D" w:rsidP="00AA624D">
      <w:pPr>
        <w:pStyle w:val="a5"/>
        <w:numPr>
          <w:ilvl w:val="0"/>
          <w:numId w:val="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 xml:space="preserve">витрати на щорічне обслуговування вогнегасників в приміщенні ІТП (4 вогнегасника </w:t>
      </w:r>
      <w:proofErr w:type="spellStart"/>
      <w:r w:rsidRPr="00AA624D">
        <w:rPr>
          <w:rFonts w:ascii="Times New Roman" w:hAnsi="Times New Roman"/>
          <w:iCs/>
          <w:sz w:val="24"/>
          <w:szCs w:val="24"/>
        </w:rPr>
        <w:t>буд.Саксаганського</w:t>
      </w:r>
      <w:proofErr w:type="spellEnd"/>
      <w:r w:rsidRPr="00AA624D">
        <w:rPr>
          <w:rFonts w:ascii="Times New Roman" w:hAnsi="Times New Roman"/>
          <w:iCs/>
          <w:sz w:val="24"/>
          <w:szCs w:val="24"/>
        </w:rPr>
        <w:t xml:space="preserve">, 70 – 1,17 тис. </w:t>
      </w:r>
      <w:proofErr w:type="spellStart"/>
      <w:r w:rsidRPr="00AA624D">
        <w:rPr>
          <w:rFonts w:ascii="Times New Roman" w:hAnsi="Times New Roman"/>
          <w:iCs/>
          <w:sz w:val="24"/>
          <w:szCs w:val="24"/>
        </w:rPr>
        <w:t>грн</w:t>
      </w:r>
      <w:proofErr w:type="spellEnd"/>
      <w:r w:rsidRPr="00AA624D">
        <w:rPr>
          <w:rFonts w:ascii="Times New Roman" w:hAnsi="Times New Roman"/>
          <w:iCs/>
          <w:sz w:val="24"/>
          <w:szCs w:val="24"/>
        </w:rPr>
        <w:t xml:space="preserve"> згідно Акту виконаних робіт № ОУ-0000049 від 24.02.2016 ТОВ «</w:t>
      </w:r>
      <w:proofErr w:type="spellStart"/>
      <w:r w:rsidRPr="00AA624D">
        <w:rPr>
          <w:rFonts w:ascii="Times New Roman" w:hAnsi="Times New Roman"/>
          <w:iCs/>
          <w:sz w:val="24"/>
          <w:szCs w:val="24"/>
        </w:rPr>
        <w:t>ПРАО</w:t>
      </w:r>
      <w:proofErr w:type="spellEnd"/>
      <w:r w:rsidRPr="00AA624D">
        <w:rPr>
          <w:rFonts w:ascii="Times New Roman" w:hAnsi="Times New Roman"/>
          <w:iCs/>
          <w:sz w:val="24"/>
          <w:szCs w:val="24"/>
        </w:rPr>
        <w:t xml:space="preserve"> ТЕХ СЕРВІС».</w:t>
      </w:r>
    </w:p>
    <w:p w:rsidR="00AA624D" w:rsidRPr="00AA624D" w:rsidRDefault="00AA624D" w:rsidP="00AA624D">
      <w:pPr>
        <w:pStyle w:val="a5"/>
        <w:numPr>
          <w:ilvl w:val="0"/>
          <w:numId w:val="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витрати на періодичні медогляди, проведення досліджень – 1,39тис.грн. Витрати включені на підставі Договору №16/05-16 від 16.05.2016р. з МСЧ ПАТ «Київський завод «Радар».</w:t>
      </w:r>
    </w:p>
    <w:p w:rsidR="00AA624D" w:rsidRPr="00AA624D" w:rsidRDefault="00AA624D" w:rsidP="00AA624D">
      <w:pPr>
        <w:pStyle w:val="a5"/>
        <w:numPr>
          <w:ilvl w:val="0"/>
          <w:numId w:val="5"/>
        </w:numPr>
        <w:spacing w:after="0" w:line="240" w:lineRule="auto"/>
        <w:jc w:val="both"/>
        <w:rPr>
          <w:rFonts w:ascii="Times New Roman" w:hAnsi="Times New Roman"/>
          <w:iCs/>
          <w:sz w:val="24"/>
          <w:szCs w:val="24"/>
        </w:rPr>
      </w:pPr>
      <w:r w:rsidRPr="00AA624D">
        <w:rPr>
          <w:rFonts w:ascii="Times New Roman" w:hAnsi="Times New Roman"/>
          <w:iCs/>
          <w:sz w:val="24"/>
          <w:szCs w:val="24"/>
        </w:rPr>
        <w:t>проектування та монтаж автономної установки аерозольного пожежогасіння – 1,70тис.грн. Витрати підтверджені Договором №175/07/ПМ16 від 28.03.2016р. з ТОВ «Дозор Сервіс».</w:t>
      </w:r>
    </w:p>
    <w:p w:rsidR="00AA624D" w:rsidRPr="00AA624D" w:rsidRDefault="00AA624D" w:rsidP="00AA624D">
      <w:pPr>
        <w:pStyle w:val="a5"/>
        <w:spacing w:after="0" w:line="240" w:lineRule="auto"/>
        <w:jc w:val="both"/>
        <w:rPr>
          <w:rFonts w:ascii="Times New Roman" w:hAnsi="Times New Roman"/>
          <w:iCs/>
          <w:sz w:val="24"/>
          <w:szCs w:val="24"/>
        </w:rPr>
      </w:pPr>
    </w:p>
    <w:p w:rsidR="00AA624D" w:rsidRPr="00AA624D" w:rsidRDefault="00AA624D" w:rsidP="00AA624D">
      <w:pPr>
        <w:pStyle w:val="a5"/>
        <w:numPr>
          <w:ilvl w:val="0"/>
          <w:numId w:val="15"/>
        </w:numPr>
        <w:spacing w:after="0" w:line="240" w:lineRule="auto"/>
        <w:jc w:val="both"/>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витрати на послуги зв’язку -0,15тис.грн.</w:t>
      </w:r>
      <w:r w:rsidRPr="00AA624D">
        <w:rPr>
          <w:rFonts w:ascii="Times New Roman" w:hAnsi="Times New Roman"/>
          <w:sz w:val="24"/>
          <w:szCs w:val="24"/>
        </w:rPr>
        <w:t xml:space="preserve"> Витрати включені за фактом 2016 року та підтверджені первинною документацією.</w:t>
      </w:r>
    </w:p>
    <w:p w:rsidR="00AA624D" w:rsidRPr="00AA624D" w:rsidRDefault="00AA624D" w:rsidP="00AA624D">
      <w:pPr>
        <w:numPr>
          <w:ilvl w:val="0"/>
          <w:numId w:val="15"/>
        </w:numPr>
        <w:spacing w:after="0" w:line="240" w:lineRule="auto"/>
        <w:ind w:left="714" w:hanging="357"/>
        <w:jc w:val="both"/>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витрати з підготовки та перепідготовки кадрів (навчання обслуговуючого персоналу)- 0,93тис.грн. Витрати підтверджені актом №СН-305/1 від 19.07.2016р.; №СН-305/2 від 16.08.2016р.; №СН-391 від 15.09.2016р. від ТОВ "Навчальний центр "Новатор".</w:t>
      </w:r>
    </w:p>
    <w:p w:rsidR="00AA624D" w:rsidRPr="00AA624D" w:rsidRDefault="00AA624D" w:rsidP="00AA624D">
      <w:pPr>
        <w:pStyle w:val="a5"/>
        <w:numPr>
          <w:ilvl w:val="0"/>
          <w:numId w:val="15"/>
        </w:numPr>
        <w:spacing w:after="0" w:line="240" w:lineRule="auto"/>
        <w:ind w:left="714" w:hanging="357"/>
        <w:jc w:val="both"/>
        <w:rPr>
          <w:rFonts w:ascii="Times New Roman" w:eastAsia="Times New Roman" w:hAnsi="Times New Roman"/>
          <w:sz w:val="24"/>
          <w:szCs w:val="24"/>
          <w:lang w:eastAsia="uk-UA"/>
        </w:rPr>
      </w:pPr>
      <w:r w:rsidRPr="00AA624D">
        <w:rPr>
          <w:rFonts w:ascii="Times New Roman" w:hAnsi="Times New Roman"/>
          <w:iCs/>
          <w:sz w:val="24"/>
          <w:szCs w:val="24"/>
        </w:rPr>
        <w:t xml:space="preserve">витрати на тех. обслуговування об’єктів газопостачання - 7,41 тис. </w:t>
      </w:r>
      <w:proofErr w:type="spellStart"/>
      <w:r w:rsidRPr="00AA624D">
        <w:rPr>
          <w:rFonts w:ascii="Times New Roman" w:hAnsi="Times New Roman"/>
          <w:iCs/>
          <w:sz w:val="24"/>
          <w:szCs w:val="24"/>
        </w:rPr>
        <w:t>грн</w:t>
      </w:r>
      <w:proofErr w:type="spellEnd"/>
      <w:r w:rsidRPr="00AA624D">
        <w:rPr>
          <w:rFonts w:ascii="Times New Roman" w:hAnsi="Times New Roman"/>
          <w:iCs/>
          <w:sz w:val="24"/>
          <w:szCs w:val="24"/>
        </w:rPr>
        <w:t xml:space="preserve"> . Витрати включені на підставі </w:t>
      </w:r>
      <w:proofErr w:type="spellStart"/>
      <w:r w:rsidRPr="00AA624D">
        <w:rPr>
          <w:rFonts w:ascii="Times New Roman" w:hAnsi="Times New Roman"/>
          <w:iCs/>
          <w:sz w:val="24"/>
          <w:szCs w:val="24"/>
        </w:rPr>
        <w:t>Договіру</w:t>
      </w:r>
      <w:proofErr w:type="spellEnd"/>
      <w:r w:rsidRPr="00AA624D">
        <w:rPr>
          <w:rFonts w:ascii="Times New Roman" w:hAnsi="Times New Roman"/>
          <w:iCs/>
          <w:sz w:val="24"/>
          <w:szCs w:val="24"/>
        </w:rPr>
        <w:t xml:space="preserve"> №Т-1264/12-08 від 01.01.2016 з ПАТ "</w:t>
      </w:r>
      <w:proofErr w:type="spellStart"/>
      <w:r w:rsidRPr="00AA624D">
        <w:rPr>
          <w:rFonts w:ascii="Times New Roman" w:hAnsi="Times New Roman"/>
          <w:iCs/>
          <w:sz w:val="24"/>
          <w:szCs w:val="24"/>
        </w:rPr>
        <w:t>Київгаз</w:t>
      </w:r>
      <w:proofErr w:type="spellEnd"/>
      <w:r w:rsidRPr="00AA624D">
        <w:rPr>
          <w:rFonts w:ascii="Times New Roman" w:hAnsi="Times New Roman"/>
          <w:iCs/>
          <w:sz w:val="24"/>
          <w:szCs w:val="24"/>
        </w:rPr>
        <w:t>".</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eastAsia="Times New Roman" w:hAnsi="Times New Roman"/>
          <w:sz w:val="24"/>
          <w:szCs w:val="24"/>
          <w:lang w:eastAsia="uk-UA"/>
        </w:rPr>
        <w:t xml:space="preserve">витрати на щомісячне технічне обслуговування приладів  вузла обліку  газу  на базі обчислювача ОЕ-22ЛА –6,0 тис. </w:t>
      </w:r>
      <w:proofErr w:type="spellStart"/>
      <w:r w:rsidRPr="00AA624D">
        <w:rPr>
          <w:rFonts w:ascii="Times New Roman" w:eastAsia="Times New Roman" w:hAnsi="Times New Roman"/>
          <w:sz w:val="24"/>
          <w:szCs w:val="24"/>
          <w:lang w:eastAsia="uk-UA"/>
        </w:rPr>
        <w:t>грн.Витрати</w:t>
      </w:r>
      <w:proofErr w:type="spellEnd"/>
      <w:r w:rsidRPr="00AA624D">
        <w:rPr>
          <w:rFonts w:ascii="Times New Roman" w:eastAsia="Times New Roman" w:hAnsi="Times New Roman"/>
          <w:sz w:val="24"/>
          <w:szCs w:val="24"/>
          <w:lang w:eastAsia="uk-UA"/>
        </w:rPr>
        <w:t xml:space="preserve"> підтверджені Договором №9-ТОН від 01.03.2015р. З ПП "Корал-Буд"</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 xml:space="preserve">витрати на метрологічну повірку системи загазованості "ВАРТА» (1 раз на рік) - 2,66тис.грн. Витрати включені на </w:t>
      </w:r>
      <w:proofErr w:type="spellStart"/>
      <w:r w:rsidRPr="00AA624D">
        <w:rPr>
          <w:rFonts w:ascii="Times New Roman" w:hAnsi="Times New Roman"/>
          <w:iCs/>
          <w:sz w:val="24"/>
          <w:szCs w:val="24"/>
        </w:rPr>
        <w:t>підставіДоговіру</w:t>
      </w:r>
      <w:proofErr w:type="spellEnd"/>
      <w:r w:rsidRPr="00AA624D">
        <w:rPr>
          <w:rFonts w:ascii="Times New Roman" w:hAnsi="Times New Roman"/>
          <w:iCs/>
          <w:sz w:val="24"/>
          <w:szCs w:val="24"/>
        </w:rPr>
        <w:t xml:space="preserve"> №9-ТОН від 01.03.2015р. З ПП "Корал-Буд"</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 xml:space="preserve">витрати на перевірку димоходів та </w:t>
      </w:r>
      <w:proofErr w:type="spellStart"/>
      <w:r w:rsidRPr="00AA624D">
        <w:rPr>
          <w:rFonts w:ascii="Times New Roman" w:hAnsi="Times New Roman"/>
          <w:iCs/>
          <w:sz w:val="24"/>
          <w:szCs w:val="24"/>
        </w:rPr>
        <w:t>вентканалів</w:t>
      </w:r>
      <w:proofErr w:type="spellEnd"/>
      <w:r w:rsidRPr="00AA624D">
        <w:rPr>
          <w:rFonts w:ascii="Times New Roman" w:hAnsi="Times New Roman"/>
          <w:iCs/>
          <w:sz w:val="24"/>
          <w:szCs w:val="24"/>
        </w:rPr>
        <w:t xml:space="preserve"> - </w:t>
      </w:r>
      <w:r w:rsidRPr="00AA624D">
        <w:rPr>
          <w:rFonts w:ascii="Times New Roman" w:hAnsi="Times New Roman"/>
          <w:iCs/>
          <w:sz w:val="24"/>
          <w:szCs w:val="24"/>
        </w:rPr>
        <w:tab/>
        <w:t>1,67тис.грн. , що підтверджено договором підряду №17 від 20.06.2016р. З ТОВ "КМП Фірма "</w:t>
      </w:r>
      <w:proofErr w:type="spellStart"/>
      <w:r w:rsidRPr="00AA624D">
        <w:rPr>
          <w:rFonts w:ascii="Times New Roman" w:hAnsi="Times New Roman"/>
          <w:iCs/>
          <w:sz w:val="24"/>
          <w:szCs w:val="24"/>
        </w:rPr>
        <w:t>Екотеп</w:t>
      </w:r>
      <w:proofErr w:type="spellEnd"/>
      <w:r w:rsidRPr="00AA624D">
        <w:rPr>
          <w:rFonts w:ascii="Times New Roman" w:hAnsi="Times New Roman"/>
          <w:iCs/>
          <w:sz w:val="24"/>
          <w:szCs w:val="24"/>
        </w:rPr>
        <w:t>".</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sz w:val="24"/>
          <w:szCs w:val="24"/>
        </w:rPr>
        <w:lastRenderedPageBreak/>
        <w:t>повірка засобів вимірювальної техніки - манометрів (29 шт.)</w:t>
      </w:r>
      <w:r w:rsidRPr="00AA624D">
        <w:rPr>
          <w:rFonts w:ascii="Times New Roman" w:hAnsi="Times New Roman"/>
          <w:iCs/>
          <w:sz w:val="24"/>
          <w:szCs w:val="24"/>
        </w:rPr>
        <w:t xml:space="preserve"> -2,34тис.грн. Витрати включені на підставі </w:t>
      </w:r>
      <w:proofErr w:type="spellStart"/>
      <w:r w:rsidRPr="00AA624D">
        <w:rPr>
          <w:rFonts w:ascii="Times New Roman" w:hAnsi="Times New Roman"/>
          <w:iCs/>
          <w:sz w:val="24"/>
          <w:szCs w:val="24"/>
        </w:rPr>
        <w:t>Дог.підряду</w:t>
      </w:r>
      <w:proofErr w:type="spellEnd"/>
      <w:r w:rsidRPr="00AA624D">
        <w:rPr>
          <w:rFonts w:ascii="Times New Roman" w:hAnsi="Times New Roman"/>
          <w:iCs/>
          <w:sz w:val="24"/>
          <w:szCs w:val="24"/>
        </w:rPr>
        <w:t xml:space="preserve"> №16 від 20.06.2016р. З ТОВ "КМП ФІРМА "ЕКОТЕП"</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 xml:space="preserve">механічна чистка топкової з гідравлічним випробуванням котлів – 6,66тис.грн. Витрати включені на підставі </w:t>
      </w:r>
      <w:proofErr w:type="spellStart"/>
      <w:r w:rsidRPr="00AA624D">
        <w:rPr>
          <w:rFonts w:ascii="Times New Roman" w:hAnsi="Times New Roman"/>
          <w:iCs/>
          <w:sz w:val="24"/>
          <w:szCs w:val="24"/>
        </w:rPr>
        <w:t>Дог.підряду</w:t>
      </w:r>
      <w:proofErr w:type="spellEnd"/>
      <w:r w:rsidRPr="00AA624D">
        <w:rPr>
          <w:rFonts w:ascii="Times New Roman" w:hAnsi="Times New Roman"/>
          <w:iCs/>
          <w:sz w:val="24"/>
          <w:szCs w:val="24"/>
        </w:rPr>
        <w:t xml:space="preserve"> №28 від 11.07.2016р. З ТОВ "КМП ФІРМА "ЕКОТЕП"</w:t>
      </w:r>
    </w:p>
    <w:p w:rsidR="00AA624D" w:rsidRPr="00AA624D" w:rsidRDefault="00AA624D" w:rsidP="00AA624D">
      <w:pPr>
        <w:pStyle w:val="a5"/>
        <w:numPr>
          <w:ilvl w:val="0"/>
          <w:numId w:val="15"/>
        </w:numPr>
        <w:spacing w:before="120" w:after="120" w:line="240" w:lineRule="auto"/>
        <w:jc w:val="both"/>
        <w:rPr>
          <w:rFonts w:ascii="Times New Roman" w:hAnsi="Times New Roman"/>
          <w:iCs/>
          <w:sz w:val="24"/>
          <w:szCs w:val="24"/>
        </w:rPr>
      </w:pPr>
      <w:r w:rsidRPr="00AA624D">
        <w:rPr>
          <w:rFonts w:ascii="Times New Roman" w:hAnsi="Times New Roman"/>
          <w:iCs/>
          <w:sz w:val="24"/>
          <w:szCs w:val="24"/>
        </w:rPr>
        <w:t xml:space="preserve">витрати на податки, збори в сумі - 0,04тис. грн. До витрат включений екологічний </w:t>
      </w:r>
      <w:proofErr w:type="spellStart"/>
      <w:r w:rsidRPr="00AA624D">
        <w:rPr>
          <w:rFonts w:ascii="Times New Roman" w:hAnsi="Times New Roman"/>
          <w:iCs/>
          <w:sz w:val="24"/>
          <w:szCs w:val="24"/>
        </w:rPr>
        <w:t>податок.Розрахунок</w:t>
      </w:r>
      <w:proofErr w:type="spellEnd"/>
      <w:r w:rsidRPr="00AA624D">
        <w:rPr>
          <w:rFonts w:ascii="Times New Roman" w:hAnsi="Times New Roman"/>
          <w:iCs/>
          <w:sz w:val="24"/>
          <w:szCs w:val="24"/>
        </w:rPr>
        <w:t xml:space="preserve"> екологічного податку здійснений на підставі Податкової декларації екологічного податку за 2016року. </w:t>
      </w:r>
    </w:p>
    <w:p w:rsidR="00AA624D" w:rsidRPr="00AA624D" w:rsidRDefault="00AA624D" w:rsidP="00AA624D">
      <w:pPr>
        <w:spacing w:before="120" w:after="120" w:line="240" w:lineRule="auto"/>
        <w:ind w:firstLine="709"/>
        <w:jc w:val="both"/>
        <w:rPr>
          <w:rFonts w:ascii="Times New Roman" w:hAnsi="Times New Roman"/>
          <w:b/>
          <w:iCs/>
          <w:sz w:val="24"/>
          <w:szCs w:val="24"/>
          <w:highlight w:val="yellow"/>
        </w:rPr>
      </w:pPr>
      <w:r w:rsidRPr="00AA624D">
        <w:rPr>
          <w:rFonts w:ascii="Times New Roman" w:hAnsi="Times New Roman"/>
          <w:iCs/>
          <w:sz w:val="24"/>
          <w:szCs w:val="24"/>
        </w:rPr>
        <w:t>Нерозподілені загальновиробничі витрати враховані в тарифах на теплову енергію складають 9,52% від загального обсягу нерозподілених загальновиробничих витрат по підприємству згідно бази розподілу, що описана в Розділі 3.</w:t>
      </w:r>
    </w:p>
    <w:p w:rsidR="00AA624D" w:rsidRPr="00AA624D" w:rsidRDefault="00AA624D" w:rsidP="00AA624D">
      <w:pPr>
        <w:spacing w:before="120" w:after="120" w:line="240" w:lineRule="auto"/>
        <w:ind w:firstLine="360"/>
        <w:jc w:val="both"/>
        <w:rPr>
          <w:rFonts w:ascii="Times New Roman" w:hAnsi="Times New Roman"/>
          <w:sz w:val="24"/>
          <w:szCs w:val="24"/>
          <w:u w:val="single"/>
        </w:rPr>
      </w:pPr>
      <w:r w:rsidRPr="00AA624D">
        <w:rPr>
          <w:rFonts w:ascii="Times New Roman" w:hAnsi="Times New Roman"/>
          <w:b/>
          <w:sz w:val="24"/>
          <w:szCs w:val="24"/>
          <w:u w:val="single"/>
        </w:rPr>
        <w:t>Таким чином, загальновиробничі витрати в тарифах на теплову енергію складають складають52,92тис.грн</w:t>
      </w:r>
      <w:r w:rsidRPr="00AA624D">
        <w:rPr>
          <w:rFonts w:ascii="Times New Roman" w:hAnsi="Times New Roman"/>
          <w:sz w:val="24"/>
          <w:szCs w:val="24"/>
          <w:u w:val="single"/>
        </w:rPr>
        <w:t>.</w:t>
      </w:r>
    </w:p>
    <w:p w:rsidR="00AA624D" w:rsidRPr="00AA624D" w:rsidRDefault="00AA624D" w:rsidP="00AA624D">
      <w:pPr>
        <w:pStyle w:val="rvps2"/>
        <w:shd w:val="clear" w:color="auto" w:fill="FFFFFF"/>
        <w:spacing w:before="0" w:beforeAutospacing="0" w:after="0" w:afterAutospacing="0"/>
        <w:ind w:firstLine="281"/>
        <w:jc w:val="both"/>
        <w:textAlignment w:val="baseline"/>
        <w:rPr>
          <w:i/>
          <w:color w:val="000000"/>
          <w:lang w:val="uk-UA"/>
        </w:rPr>
      </w:pPr>
      <w:r w:rsidRPr="00AA624D">
        <w:rPr>
          <w:i/>
          <w:color w:val="000000"/>
          <w:u w:val="single"/>
          <w:lang w:val="uk-UA"/>
        </w:rPr>
        <w:t>Загальновиробничі</w:t>
      </w:r>
      <w:r w:rsidRPr="00AA624D">
        <w:rPr>
          <w:i/>
          <w:color w:val="000000"/>
          <w:lang w:val="uk-UA"/>
        </w:rPr>
        <w:t xml:space="preserve"> витрати розподілені між ліцензованими видами діяльності </w:t>
      </w:r>
      <w:r w:rsidRPr="00AA624D">
        <w:rPr>
          <w:i/>
          <w:color w:val="000000"/>
          <w:u w:val="single"/>
          <w:lang w:val="uk-UA"/>
        </w:rPr>
        <w:t xml:space="preserve">пропорційно прямим витратам </w:t>
      </w:r>
      <w:r w:rsidRPr="00AA624D">
        <w:rPr>
          <w:i/>
          <w:color w:val="000000"/>
          <w:lang w:val="uk-UA"/>
        </w:rPr>
        <w:t>відповідно до п.18 Порядку формування тарифів:</w:t>
      </w:r>
    </w:p>
    <w:p w:rsidR="00AA624D" w:rsidRPr="00AA624D" w:rsidRDefault="00AA624D" w:rsidP="00AA624D">
      <w:pPr>
        <w:pStyle w:val="rvps2"/>
        <w:shd w:val="clear" w:color="auto" w:fill="FFFFFF"/>
        <w:spacing w:before="0" w:beforeAutospacing="0" w:after="0" w:afterAutospacing="0"/>
        <w:ind w:firstLine="281"/>
        <w:jc w:val="both"/>
        <w:textAlignment w:val="baseline"/>
        <w:rPr>
          <w:color w:val="000000"/>
          <w:lang w:val="uk-UA"/>
        </w:rPr>
      </w:pPr>
      <w:r w:rsidRPr="00AA624D">
        <w:rPr>
          <w:color w:val="000000"/>
          <w:lang w:val="uk-UA"/>
        </w:rPr>
        <w:t>Загальні прямі витрати на виробництво та постачання теплової енергії складають 1941,10тис.грн. у т.ч.:</w:t>
      </w:r>
    </w:p>
    <w:p w:rsidR="00AA624D" w:rsidRPr="00AA624D" w:rsidRDefault="00AA624D" w:rsidP="00AA624D">
      <w:pPr>
        <w:pStyle w:val="rvps2"/>
        <w:numPr>
          <w:ilvl w:val="0"/>
          <w:numId w:val="13"/>
        </w:numPr>
        <w:shd w:val="clear" w:color="auto" w:fill="FFFFFF"/>
        <w:spacing w:before="0" w:beforeAutospacing="0" w:after="0" w:afterAutospacing="0"/>
        <w:jc w:val="both"/>
        <w:textAlignment w:val="baseline"/>
        <w:rPr>
          <w:color w:val="000000"/>
          <w:lang w:val="uk-UA"/>
        </w:rPr>
      </w:pPr>
      <w:r w:rsidRPr="00AA624D">
        <w:rPr>
          <w:color w:val="000000"/>
          <w:lang w:val="uk-UA"/>
        </w:rPr>
        <w:t>прямі витрати на виробництво ТЕ – 1872,99тис.грн. або 96,49%;</w:t>
      </w:r>
    </w:p>
    <w:p w:rsidR="00AA624D" w:rsidRPr="00AA624D" w:rsidRDefault="00AA624D" w:rsidP="00AA624D">
      <w:pPr>
        <w:pStyle w:val="rvps2"/>
        <w:numPr>
          <w:ilvl w:val="0"/>
          <w:numId w:val="13"/>
        </w:numPr>
        <w:shd w:val="clear" w:color="auto" w:fill="FFFFFF"/>
        <w:spacing w:before="0" w:beforeAutospacing="0" w:after="0" w:afterAutospacing="0"/>
        <w:jc w:val="both"/>
        <w:textAlignment w:val="baseline"/>
        <w:rPr>
          <w:color w:val="000000"/>
          <w:lang w:val="uk-UA"/>
        </w:rPr>
      </w:pPr>
      <w:r w:rsidRPr="00AA624D">
        <w:rPr>
          <w:color w:val="000000"/>
          <w:lang w:val="uk-UA"/>
        </w:rPr>
        <w:t>прямі витрати на постачання ТЕ  - 68,10тис.грн. або 3,51%.</w:t>
      </w:r>
    </w:p>
    <w:p w:rsidR="00AA624D" w:rsidRPr="00AA624D" w:rsidRDefault="00AA624D" w:rsidP="00AA624D">
      <w:pPr>
        <w:pStyle w:val="rvps2"/>
        <w:shd w:val="clear" w:color="auto" w:fill="FFFFFF"/>
        <w:spacing w:before="0" w:beforeAutospacing="0" w:after="0" w:afterAutospacing="0"/>
        <w:ind w:firstLine="281"/>
        <w:jc w:val="both"/>
        <w:textAlignment w:val="baseline"/>
        <w:rPr>
          <w:i/>
          <w:color w:val="000000"/>
          <w:lang w:val="uk-UA"/>
        </w:rPr>
      </w:pPr>
      <w:r w:rsidRPr="00AA624D">
        <w:rPr>
          <w:i/>
          <w:color w:val="000000"/>
          <w:lang w:val="uk-UA"/>
        </w:rPr>
        <w:t xml:space="preserve">Відповідно загальновиробничі витрат віднесені до </w:t>
      </w:r>
      <w:r w:rsidRPr="00AA624D">
        <w:rPr>
          <w:b/>
          <w:i/>
          <w:color w:val="000000"/>
          <w:u w:val="single"/>
          <w:lang w:val="uk-UA"/>
        </w:rPr>
        <w:t xml:space="preserve">собівартості виробництва теплової енергії </w:t>
      </w:r>
      <w:r w:rsidRPr="00AA624D">
        <w:rPr>
          <w:i/>
          <w:color w:val="000000"/>
          <w:lang w:val="uk-UA"/>
        </w:rPr>
        <w:t>складають 51,11тис.грн. або 96,49% загальновиробничих витрат по підприємству віднесених на собівартість ТЕ;</w:t>
      </w:r>
    </w:p>
    <w:p w:rsidR="00AA624D" w:rsidRPr="00AA624D" w:rsidRDefault="00AA624D" w:rsidP="00AA624D">
      <w:pPr>
        <w:pStyle w:val="rvps2"/>
        <w:shd w:val="clear" w:color="auto" w:fill="FFFFFF"/>
        <w:spacing w:before="0" w:beforeAutospacing="0" w:after="0" w:afterAutospacing="0"/>
        <w:ind w:firstLine="281"/>
        <w:jc w:val="both"/>
        <w:textAlignment w:val="baseline"/>
        <w:rPr>
          <w:i/>
          <w:color w:val="000000"/>
          <w:lang w:val="uk-UA"/>
        </w:rPr>
      </w:pPr>
      <w:r w:rsidRPr="00AA624D">
        <w:rPr>
          <w:i/>
          <w:color w:val="000000"/>
          <w:lang w:val="uk-UA"/>
        </w:rPr>
        <w:t xml:space="preserve">Відповідно загальновиробничі витрати віднесені до </w:t>
      </w:r>
      <w:r w:rsidRPr="00AA624D">
        <w:rPr>
          <w:b/>
          <w:i/>
          <w:color w:val="000000"/>
          <w:u w:val="single"/>
          <w:lang w:val="uk-UA"/>
        </w:rPr>
        <w:t xml:space="preserve">собівартості постачання теплової енергії </w:t>
      </w:r>
      <w:r w:rsidRPr="00AA624D">
        <w:rPr>
          <w:i/>
          <w:color w:val="000000"/>
          <w:lang w:val="uk-UA"/>
        </w:rPr>
        <w:t xml:space="preserve">складають 1,86тис.грн. або 3,51% загальновиробничих витрат по </w:t>
      </w:r>
      <w:proofErr w:type="spellStart"/>
      <w:r w:rsidRPr="00AA624D">
        <w:rPr>
          <w:i/>
          <w:color w:val="000000"/>
          <w:lang w:val="uk-UA"/>
        </w:rPr>
        <w:t>підприємствувіднесених</w:t>
      </w:r>
      <w:proofErr w:type="spellEnd"/>
      <w:r w:rsidRPr="00AA624D">
        <w:rPr>
          <w:i/>
          <w:color w:val="000000"/>
          <w:lang w:val="uk-UA"/>
        </w:rPr>
        <w:t xml:space="preserve"> на собівартість ТЕ.</w:t>
      </w:r>
    </w:p>
    <w:p w:rsidR="00AA624D" w:rsidRPr="00AA624D" w:rsidRDefault="00AA624D" w:rsidP="00AA624D">
      <w:pPr>
        <w:pStyle w:val="a5"/>
        <w:spacing w:after="0" w:line="240" w:lineRule="auto"/>
        <w:ind w:left="0" w:firstLine="708"/>
        <w:jc w:val="both"/>
        <w:rPr>
          <w:rFonts w:ascii="Times New Roman" w:hAnsi="Times New Roman"/>
          <w:sz w:val="24"/>
          <w:szCs w:val="24"/>
        </w:rPr>
      </w:pPr>
      <w:r w:rsidRPr="00AA624D">
        <w:rPr>
          <w:rFonts w:ascii="Times New Roman" w:hAnsi="Times New Roman"/>
          <w:sz w:val="24"/>
          <w:szCs w:val="24"/>
        </w:rPr>
        <w:t>Загальновиробничі витрати розподілені між групами споживачів та віднесені на собівартість теплової енергії пропорційно плановому обсягу корисного відпуску теплової енергії:</w:t>
      </w:r>
    </w:p>
    <w:p w:rsidR="00AA624D" w:rsidRPr="00AA624D" w:rsidRDefault="00AA624D" w:rsidP="00AA624D">
      <w:pPr>
        <w:numPr>
          <w:ilvl w:val="0"/>
          <w:numId w:val="12"/>
        </w:numPr>
        <w:spacing w:after="0" w:line="240" w:lineRule="auto"/>
        <w:jc w:val="both"/>
        <w:rPr>
          <w:rFonts w:ascii="Times New Roman" w:hAnsi="Times New Roman"/>
          <w:sz w:val="24"/>
          <w:szCs w:val="24"/>
        </w:rPr>
      </w:pPr>
      <w:r w:rsidRPr="00AA624D">
        <w:rPr>
          <w:rFonts w:ascii="Times New Roman" w:hAnsi="Times New Roman"/>
          <w:sz w:val="24"/>
          <w:szCs w:val="24"/>
        </w:rPr>
        <w:t>79% - інші споживачі;</w:t>
      </w:r>
    </w:p>
    <w:p w:rsidR="00AA624D" w:rsidRPr="00AA624D" w:rsidRDefault="00AA624D" w:rsidP="00AA624D">
      <w:pPr>
        <w:numPr>
          <w:ilvl w:val="0"/>
          <w:numId w:val="12"/>
        </w:numPr>
        <w:spacing w:after="0" w:line="240" w:lineRule="auto"/>
        <w:jc w:val="both"/>
        <w:rPr>
          <w:rFonts w:ascii="Times New Roman" w:hAnsi="Times New Roman"/>
          <w:sz w:val="24"/>
          <w:szCs w:val="24"/>
        </w:rPr>
      </w:pPr>
      <w:r w:rsidRPr="00AA624D">
        <w:rPr>
          <w:rFonts w:ascii="Times New Roman" w:hAnsi="Times New Roman"/>
          <w:sz w:val="24"/>
          <w:szCs w:val="24"/>
        </w:rPr>
        <w:t>21% - населення.</w:t>
      </w:r>
    </w:p>
    <w:p w:rsidR="00AA624D" w:rsidRPr="00AA624D" w:rsidRDefault="00AA624D" w:rsidP="00AA624D">
      <w:pPr>
        <w:pStyle w:val="2"/>
        <w:spacing w:before="0" w:after="0"/>
        <w:rPr>
          <w:sz w:val="24"/>
          <w:szCs w:val="24"/>
        </w:rPr>
      </w:pPr>
      <w:bookmarkStart w:id="8" w:name="_Toc418451106"/>
      <w:r w:rsidRPr="00AA624D">
        <w:rPr>
          <w:sz w:val="24"/>
          <w:szCs w:val="24"/>
        </w:rPr>
        <w:t>4)Стаття «Адміністративні витрат</w:t>
      </w:r>
      <w:bookmarkEnd w:id="8"/>
      <w:r w:rsidRPr="00AA624D">
        <w:rPr>
          <w:sz w:val="24"/>
          <w:szCs w:val="24"/>
        </w:rPr>
        <w:t>и»</w:t>
      </w:r>
    </w:p>
    <w:p w:rsidR="00AA624D" w:rsidRPr="00AA624D" w:rsidRDefault="00AA624D" w:rsidP="00AA624D">
      <w:pPr>
        <w:rPr>
          <w:rFonts w:ascii="Times New Roman" w:hAnsi="Times New Roman"/>
          <w:sz w:val="24"/>
          <w:szCs w:val="24"/>
          <w:lang w:eastAsia="ru-RU"/>
        </w:rPr>
      </w:pPr>
    </w:p>
    <w:p w:rsidR="00AA624D" w:rsidRPr="00AA624D" w:rsidRDefault="00AA624D" w:rsidP="00AA624D">
      <w:pPr>
        <w:spacing w:after="0" w:line="240" w:lineRule="auto"/>
        <w:ind w:firstLine="539"/>
        <w:jc w:val="both"/>
        <w:rPr>
          <w:rFonts w:ascii="Times New Roman" w:hAnsi="Times New Roman"/>
          <w:sz w:val="24"/>
          <w:szCs w:val="24"/>
        </w:rPr>
      </w:pPr>
      <w:r w:rsidRPr="00AA624D">
        <w:rPr>
          <w:rFonts w:ascii="Times New Roman" w:hAnsi="Times New Roman"/>
          <w:sz w:val="24"/>
          <w:szCs w:val="24"/>
        </w:rPr>
        <w:t>Відповідно до затвердженого Порядку формування тарифів, до складу адміністративних витрат включені витрати на оплату праці апарату управління, відрахування на загальнообов’язкове страхування та інші витрати.</w:t>
      </w:r>
    </w:p>
    <w:p w:rsidR="00AA624D" w:rsidRPr="00AA624D" w:rsidRDefault="00AA624D" w:rsidP="00AA624D">
      <w:pPr>
        <w:spacing w:before="120" w:after="120" w:line="240" w:lineRule="auto"/>
        <w:ind w:firstLine="709"/>
        <w:jc w:val="both"/>
        <w:rPr>
          <w:rFonts w:ascii="Times New Roman" w:hAnsi="Times New Roman"/>
          <w:iCs/>
          <w:sz w:val="24"/>
          <w:szCs w:val="24"/>
        </w:rPr>
      </w:pPr>
      <w:r w:rsidRPr="00AA624D">
        <w:rPr>
          <w:rFonts w:ascii="Times New Roman" w:hAnsi="Times New Roman"/>
          <w:iCs/>
          <w:sz w:val="24"/>
          <w:szCs w:val="24"/>
        </w:rPr>
        <w:t>До складу інших адміністративних витрат відносяться:</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канцтовари – 17,9тис.грн. Визначені згідно фактичних витрат за 2016 рік  та підтверджені первинною документацією.</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розрахунково-касове обслуговування 1,13тис. грн. визначені згідно фактичних витрат за 2016 рік.</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eastAsia="Times New Roman" w:hAnsi="Times New Roman"/>
          <w:sz w:val="24"/>
          <w:szCs w:val="24"/>
          <w:lang w:eastAsia="uk-UA"/>
        </w:rPr>
        <w:t>витрати на обслуговування програмного забезпечення2,2тис.грн. Витрати включені на підставі Дог.№1С/АОПРОФ від 22.12.2014р. та актів виконаних робіт за 2016 рік.</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hAnsi="Times New Roman"/>
          <w:sz w:val="24"/>
          <w:szCs w:val="24"/>
        </w:rPr>
        <w:t>витрати на зв’язок  – 8,07 тис. грн. Витрати включені за фактом 2016 року та підтверджені первинною документацією.</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hAnsi="Times New Roman"/>
          <w:sz w:val="24"/>
          <w:szCs w:val="24"/>
        </w:rPr>
        <w:t>витрати на обслуговування оргтехніки  – 0,73тис.грн. Витрати включені за фактом 2016р. та підтверджені первинною документацією.</w:t>
      </w:r>
    </w:p>
    <w:p w:rsidR="00AA624D" w:rsidRPr="00AA624D" w:rsidRDefault="00AA624D" w:rsidP="00AA624D">
      <w:pPr>
        <w:numPr>
          <w:ilvl w:val="0"/>
          <w:numId w:val="6"/>
        </w:numPr>
        <w:spacing w:after="0" w:line="240" w:lineRule="auto"/>
        <w:jc w:val="both"/>
        <w:rPr>
          <w:rFonts w:ascii="Times New Roman" w:eastAsia="Times New Roman" w:hAnsi="Times New Roman"/>
          <w:sz w:val="24"/>
          <w:szCs w:val="24"/>
          <w:lang w:eastAsia="uk-UA"/>
        </w:rPr>
      </w:pPr>
      <w:r w:rsidRPr="00AA624D">
        <w:rPr>
          <w:rFonts w:ascii="Times New Roman" w:hAnsi="Times New Roman"/>
          <w:sz w:val="24"/>
          <w:szCs w:val="24"/>
        </w:rPr>
        <w:t>утилізація люмінесцентних ламп  - 0,29 тис. грн. Витрати включені на підставі Дог.№14/01032 від 06.03.2015р. з ТОВ "НВФ "</w:t>
      </w:r>
      <w:proofErr w:type="spellStart"/>
      <w:r w:rsidRPr="00AA624D">
        <w:rPr>
          <w:rFonts w:ascii="Times New Roman" w:hAnsi="Times New Roman"/>
          <w:sz w:val="24"/>
          <w:szCs w:val="24"/>
        </w:rPr>
        <w:t>Екоцентр</w:t>
      </w:r>
      <w:proofErr w:type="spellEnd"/>
      <w:r w:rsidRPr="00AA624D">
        <w:rPr>
          <w:rFonts w:ascii="Times New Roman" w:hAnsi="Times New Roman"/>
          <w:sz w:val="24"/>
          <w:szCs w:val="24"/>
        </w:rPr>
        <w:t>".</w:t>
      </w:r>
    </w:p>
    <w:p w:rsidR="00AA624D" w:rsidRPr="00AA624D" w:rsidRDefault="00AA624D" w:rsidP="00AA624D">
      <w:pPr>
        <w:spacing w:before="120" w:after="120" w:line="240" w:lineRule="auto"/>
        <w:ind w:firstLine="360"/>
        <w:jc w:val="both"/>
        <w:rPr>
          <w:rFonts w:ascii="Times New Roman" w:hAnsi="Times New Roman"/>
          <w:iCs/>
          <w:sz w:val="24"/>
          <w:szCs w:val="24"/>
          <w:highlight w:val="yellow"/>
        </w:rPr>
      </w:pPr>
      <w:r w:rsidRPr="00AA624D">
        <w:rPr>
          <w:rFonts w:ascii="Times New Roman" w:hAnsi="Times New Roman"/>
          <w:iCs/>
          <w:sz w:val="24"/>
          <w:szCs w:val="24"/>
        </w:rPr>
        <w:t xml:space="preserve">Адміністративні </w:t>
      </w:r>
      <w:proofErr w:type="spellStart"/>
      <w:r w:rsidRPr="00AA624D">
        <w:rPr>
          <w:rFonts w:ascii="Times New Roman" w:hAnsi="Times New Roman"/>
          <w:iCs/>
          <w:sz w:val="24"/>
          <w:szCs w:val="24"/>
        </w:rPr>
        <w:t>витративраховані</w:t>
      </w:r>
      <w:proofErr w:type="spellEnd"/>
      <w:r w:rsidRPr="00AA624D">
        <w:rPr>
          <w:rFonts w:ascii="Times New Roman" w:hAnsi="Times New Roman"/>
          <w:iCs/>
          <w:sz w:val="24"/>
          <w:szCs w:val="24"/>
        </w:rPr>
        <w:t xml:space="preserve"> в тарифах на теплову енергію у розмірі 9,52%від загального обсягу адміністративних витрат по підприємству згідно бази розподілу, що описана в Розділі 3.</w:t>
      </w:r>
    </w:p>
    <w:p w:rsidR="00AA624D" w:rsidRPr="00AA624D" w:rsidRDefault="00AA624D" w:rsidP="00AA624D">
      <w:pPr>
        <w:spacing w:before="120" w:after="120" w:line="240" w:lineRule="auto"/>
        <w:ind w:firstLine="360"/>
        <w:jc w:val="both"/>
        <w:rPr>
          <w:rFonts w:ascii="Times New Roman" w:hAnsi="Times New Roman"/>
          <w:b/>
          <w:sz w:val="24"/>
          <w:szCs w:val="24"/>
          <w:u w:val="single"/>
        </w:rPr>
      </w:pPr>
      <w:r w:rsidRPr="00AA624D">
        <w:rPr>
          <w:rFonts w:ascii="Times New Roman" w:hAnsi="Times New Roman"/>
          <w:b/>
          <w:sz w:val="24"/>
          <w:szCs w:val="24"/>
          <w:u w:val="single"/>
        </w:rPr>
        <w:lastRenderedPageBreak/>
        <w:t>Таким чином, адміністративні витрати в тарифах на теплову енергію складають складають26,52тис.грн.</w:t>
      </w:r>
    </w:p>
    <w:p w:rsidR="00AA624D" w:rsidRPr="00AA624D" w:rsidRDefault="00AA624D" w:rsidP="00AA624D">
      <w:pPr>
        <w:spacing w:before="120"/>
        <w:ind w:firstLine="539"/>
        <w:jc w:val="both"/>
        <w:rPr>
          <w:rFonts w:ascii="Times New Roman" w:hAnsi="Times New Roman"/>
          <w:color w:val="000000"/>
          <w:sz w:val="24"/>
          <w:szCs w:val="24"/>
        </w:rPr>
      </w:pPr>
      <w:r w:rsidRPr="00AA624D">
        <w:rPr>
          <w:rFonts w:ascii="Times New Roman" w:hAnsi="Times New Roman"/>
          <w:color w:val="000000"/>
          <w:sz w:val="24"/>
          <w:szCs w:val="24"/>
          <w:u w:val="single"/>
        </w:rPr>
        <w:t>Адміністративні витрати</w:t>
      </w:r>
      <w:r w:rsidRPr="00AA624D">
        <w:rPr>
          <w:rFonts w:ascii="Times New Roman" w:hAnsi="Times New Roman"/>
          <w:color w:val="000000"/>
          <w:sz w:val="24"/>
          <w:szCs w:val="24"/>
        </w:rPr>
        <w:t xml:space="preserve"> розподілені між видами діяльності </w:t>
      </w:r>
      <w:r w:rsidRPr="00AA624D">
        <w:rPr>
          <w:rFonts w:ascii="Times New Roman" w:hAnsi="Times New Roman"/>
          <w:color w:val="000000"/>
          <w:sz w:val="24"/>
          <w:szCs w:val="24"/>
          <w:u w:val="single"/>
        </w:rPr>
        <w:t>пропорційно виробничій собівартості відповідно до 1</w:t>
      </w:r>
      <w:r w:rsidRPr="00AA624D">
        <w:rPr>
          <w:rFonts w:ascii="Times New Roman" w:hAnsi="Times New Roman"/>
          <w:color w:val="000000"/>
          <w:sz w:val="24"/>
          <w:szCs w:val="24"/>
          <w:u w:val="single"/>
        </w:rPr>
        <w:tab/>
        <w:t xml:space="preserve">вимог </w:t>
      </w:r>
      <w:r w:rsidRPr="00AA624D">
        <w:rPr>
          <w:rFonts w:ascii="Times New Roman" w:hAnsi="Times New Roman"/>
          <w:color w:val="000000"/>
          <w:sz w:val="24"/>
          <w:szCs w:val="24"/>
        </w:rPr>
        <w:t>п.19</w:t>
      </w:r>
      <w:r w:rsidRPr="00AA624D">
        <w:rPr>
          <w:rFonts w:ascii="Times New Roman" w:hAnsi="Times New Roman"/>
          <w:sz w:val="24"/>
          <w:szCs w:val="24"/>
        </w:rPr>
        <w:t>Порядку формування тарифів</w:t>
      </w:r>
      <w:r w:rsidRPr="00AA624D">
        <w:rPr>
          <w:rFonts w:ascii="Times New Roman" w:hAnsi="Times New Roman"/>
          <w:color w:val="000000"/>
          <w:sz w:val="24"/>
          <w:szCs w:val="24"/>
        </w:rPr>
        <w:t>:</w:t>
      </w:r>
    </w:p>
    <w:p w:rsidR="00AA624D" w:rsidRPr="00AA624D" w:rsidRDefault="00AA624D" w:rsidP="00AA624D">
      <w:pPr>
        <w:spacing w:after="0" w:line="240" w:lineRule="auto"/>
        <w:ind w:firstLine="539"/>
        <w:jc w:val="both"/>
        <w:rPr>
          <w:rFonts w:ascii="Times New Roman" w:hAnsi="Times New Roman"/>
          <w:color w:val="000000"/>
          <w:sz w:val="24"/>
          <w:szCs w:val="24"/>
        </w:rPr>
      </w:pPr>
      <w:r w:rsidRPr="00AA624D">
        <w:rPr>
          <w:rFonts w:ascii="Times New Roman" w:hAnsi="Times New Roman"/>
          <w:b/>
          <w:i/>
          <w:color w:val="000000"/>
          <w:sz w:val="24"/>
          <w:szCs w:val="24"/>
        </w:rPr>
        <w:t>Загальна виробнича собівартість</w:t>
      </w:r>
      <w:r w:rsidRPr="00AA624D">
        <w:rPr>
          <w:rFonts w:ascii="Times New Roman" w:hAnsi="Times New Roman"/>
          <w:color w:val="000000"/>
          <w:sz w:val="24"/>
          <w:szCs w:val="24"/>
        </w:rPr>
        <w:t xml:space="preserve"> виробництва та постачання теплової енергії складає 1994,06тис.грн. у т.ч.:</w:t>
      </w:r>
    </w:p>
    <w:p w:rsidR="00AA624D" w:rsidRPr="00AA624D" w:rsidRDefault="00AA624D" w:rsidP="00AA624D">
      <w:pPr>
        <w:numPr>
          <w:ilvl w:val="0"/>
          <w:numId w:val="13"/>
        </w:numPr>
        <w:spacing w:after="0" w:line="240" w:lineRule="auto"/>
        <w:jc w:val="both"/>
        <w:rPr>
          <w:rFonts w:ascii="Times New Roman" w:hAnsi="Times New Roman"/>
          <w:color w:val="000000"/>
          <w:sz w:val="24"/>
          <w:szCs w:val="24"/>
        </w:rPr>
      </w:pPr>
      <w:r w:rsidRPr="00AA624D">
        <w:rPr>
          <w:rFonts w:ascii="Times New Roman" w:hAnsi="Times New Roman"/>
          <w:color w:val="000000"/>
          <w:sz w:val="24"/>
          <w:szCs w:val="24"/>
        </w:rPr>
        <w:t>виробнича собівартість виробництва ТЕ – 1924,10тис.грн. або 96,49%;</w:t>
      </w:r>
    </w:p>
    <w:p w:rsidR="00AA624D" w:rsidRPr="00AA624D" w:rsidRDefault="00AA624D" w:rsidP="00AA624D">
      <w:pPr>
        <w:numPr>
          <w:ilvl w:val="0"/>
          <w:numId w:val="13"/>
        </w:numPr>
        <w:spacing w:after="0" w:line="240" w:lineRule="auto"/>
        <w:jc w:val="both"/>
        <w:rPr>
          <w:rFonts w:ascii="Times New Roman" w:hAnsi="Times New Roman"/>
          <w:color w:val="000000"/>
          <w:sz w:val="24"/>
          <w:szCs w:val="24"/>
        </w:rPr>
      </w:pPr>
      <w:r w:rsidRPr="00AA624D">
        <w:rPr>
          <w:rFonts w:ascii="Times New Roman" w:hAnsi="Times New Roman"/>
          <w:color w:val="000000"/>
          <w:sz w:val="24"/>
          <w:szCs w:val="24"/>
        </w:rPr>
        <w:t>виробнича собівартість постачання ТЕ  - 69,96тис.грн. або 3,51%.</w:t>
      </w:r>
    </w:p>
    <w:p w:rsidR="00AA624D" w:rsidRPr="00AA624D" w:rsidRDefault="00AA624D" w:rsidP="00AA624D">
      <w:pPr>
        <w:spacing w:after="0" w:line="240" w:lineRule="auto"/>
        <w:ind w:firstLine="539"/>
        <w:jc w:val="both"/>
        <w:rPr>
          <w:rFonts w:ascii="Times New Roman" w:hAnsi="Times New Roman"/>
          <w:i/>
          <w:color w:val="000000"/>
          <w:sz w:val="24"/>
          <w:szCs w:val="24"/>
        </w:rPr>
      </w:pPr>
      <w:r w:rsidRPr="00AA624D">
        <w:rPr>
          <w:rFonts w:ascii="Times New Roman" w:hAnsi="Times New Roman"/>
          <w:i/>
          <w:color w:val="000000"/>
          <w:sz w:val="24"/>
          <w:szCs w:val="24"/>
        </w:rPr>
        <w:t xml:space="preserve">Відповідно адміністративні витрати віднесені до </w:t>
      </w:r>
      <w:r w:rsidRPr="00AA624D">
        <w:rPr>
          <w:rFonts w:ascii="Times New Roman" w:hAnsi="Times New Roman"/>
          <w:b/>
          <w:i/>
          <w:color w:val="000000"/>
          <w:sz w:val="24"/>
          <w:szCs w:val="24"/>
          <w:u w:val="single"/>
        </w:rPr>
        <w:t xml:space="preserve">собівартості виробництва теплової енергії </w:t>
      </w:r>
      <w:r w:rsidRPr="00AA624D">
        <w:rPr>
          <w:rFonts w:ascii="Times New Roman" w:hAnsi="Times New Roman"/>
          <w:i/>
          <w:color w:val="000000"/>
          <w:sz w:val="24"/>
          <w:szCs w:val="24"/>
        </w:rPr>
        <w:t>складають 25,59тис.грн. або 96,49% від адміністративних витрат віднесених на собівартість ТЕ;</w:t>
      </w:r>
    </w:p>
    <w:p w:rsidR="00AA624D" w:rsidRPr="00AA624D" w:rsidRDefault="00AA624D" w:rsidP="00AA624D">
      <w:pPr>
        <w:spacing w:after="0" w:line="240" w:lineRule="auto"/>
        <w:ind w:firstLine="539"/>
        <w:jc w:val="both"/>
        <w:rPr>
          <w:rFonts w:ascii="Times New Roman" w:hAnsi="Times New Roman"/>
          <w:i/>
          <w:color w:val="000000"/>
          <w:sz w:val="24"/>
          <w:szCs w:val="24"/>
        </w:rPr>
      </w:pPr>
      <w:r w:rsidRPr="00AA624D">
        <w:rPr>
          <w:rFonts w:ascii="Times New Roman" w:hAnsi="Times New Roman"/>
          <w:i/>
          <w:color w:val="000000"/>
          <w:sz w:val="24"/>
          <w:szCs w:val="24"/>
        </w:rPr>
        <w:t xml:space="preserve">Відповідно адміністративні витрати віднесені до </w:t>
      </w:r>
      <w:r w:rsidRPr="00AA624D">
        <w:rPr>
          <w:rFonts w:ascii="Times New Roman" w:hAnsi="Times New Roman"/>
          <w:b/>
          <w:i/>
          <w:color w:val="000000"/>
          <w:sz w:val="24"/>
          <w:szCs w:val="24"/>
          <w:u w:val="single"/>
        </w:rPr>
        <w:t>собівартості постачання теплової енергії</w:t>
      </w:r>
      <w:r w:rsidRPr="00AA624D">
        <w:rPr>
          <w:rFonts w:ascii="Times New Roman" w:hAnsi="Times New Roman"/>
          <w:i/>
          <w:color w:val="000000"/>
          <w:sz w:val="24"/>
          <w:szCs w:val="24"/>
        </w:rPr>
        <w:t xml:space="preserve"> складають 1,86тис.грн. або 3,51%  від адміністративних витрат віднесених на </w:t>
      </w:r>
      <w:proofErr w:type="spellStart"/>
      <w:r w:rsidRPr="00AA624D">
        <w:rPr>
          <w:rFonts w:ascii="Times New Roman" w:hAnsi="Times New Roman"/>
          <w:i/>
          <w:color w:val="000000"/>
          <w:sz w:val="24"/>
          <w:szCs w:val="24"/>
        </w:rPr>
        <w:t>собівартістьТЕ</w:t>
      </w:r>
      <w:proofErr w:type="spellEnd"/>
      <w:r w:rsidRPr="00AA624D">
        <w:rPr>
          <w:rFonts w:ascii="Times New Roman" w:hAnsi="Times New Roman"/>
          <w:i/>
          <w:color w:val="000000"/>
          <w:sz w:val="24"/>
          <w:szCs w:val="24"/>
        </w:rPr>
        <w:t>;</w:t>
      </w:r>
    </w:p>
    <w:p w:rsidR="00AA624D" w:rsidRPr="00AA624D" w:rsidRDefault="00AA624D" w:rsidP="00AA624D">
      <w:pPr>
        <w:pStyle w:val="a5"/>
        <w:spacing w:after="0" w:line="240" w:lineRule="auto"/>
        <w:ind w:left="0" w:firstLine="708"/>
        <w:jc w:val="both"/>
        <w:rPr>
          <w:rFonts w:ascii="Times New Roman" w:hAnsi="Times New Roman"/>
          <w:sz w:val="24"/>
          <w:szCs w:val="24"/>
        </w:rPr>
      </w:pPr>
      <w:r w:rsidRPr="00AA624D">
        <w:rPr>
          <w:rFonts w:ascii="Times New Roman" w:hAnsi="Times New Roman"/>
          <w:sz w:val="24"/>
          <w:szCs w:val="24"/>
        </w:rPr>
        <w:t>Адміністративні витрати розподілені між групами споживачів та віднесені на собівартість теплової енергії пропорційно плановому обсягу корисного відпуску теплової енергії:</w:t>
      </w:r>
    </w:p>
    <w:p w:rsidR="00AA624D" w:rsidRPr="00AA624D" w:rsidRDefault="00AA624D" w:rsidP="00AA624D">
      <w:pPr>
        <w:numPr>
          <w:ilvl w:val="0"/>
          <w:numId w:val="12"/>
        </w:numPr>
        <w:spacing w:after="0" w:line="240" w:lineRule="auto"/>
        <w:jc w:val="both"/>
        <w:rPr>
          <w:rFonts w:ascii="Times New Roman" w:hAnsi="Times New Roman"/>
          <w:sz w:val="24"/>
          <w:szCs w:val="24"/>
        </w:rPr>
      </w:pPr>
      <w:r w:rsidRPr="00AA624D">
        <w:rPr>
          <w:rFonts w:ascii="Times New Roman" w:hAnsi="Times New Roman"/>
          <w:sz w:val="24"/>
          <w:szCs w:val="24"/>
        </w:rPr>
        <w:t>79% - інші споживачі;</w:t>
      </w:r>
    </w:p>
    <w:p w:rsidR="00AA624D" w:rsidRPr="00AA624D" w:rsidRDefault="00AA624D" w:rsidP="00AA624D">
      <w:pPr>
        <w:numPr>
          <w:ilvl w:val="0"/>
          <w:numId w:val="12"/>
        </w:numPr>
        <w:spacing w:after="0" w:line="240" w:lineRule="auto"/>
        <w:jc w:val="both"/>
        <w:rPr>
          <w:rFonts w:ascii="Times New Roman" w:hAnsi="Times New Roman"/>
          <w:sz w:val="24"/>
          <w:szCs w:val="24"/>
        </w:rPr>
      </w:pPr>
      <w:r w:rsidRPr="00AA624D">
        <w:rPr>
          <w:rFonts w:ascii="Times New Roman" w:hAnsi="Times New Roman"/>
          <w:sz w:val="24"/>
          <w:szCs w:val="24"/>
        </w:rPr>
        <w:t>21% - населення.</w:t>
      </w:r>
    </w:p>
    <w:p w:rsidR="00AA624D" w:rsidRPr="00AA624D" w:rsidRDefault="00AA624D" w:rsidP="00AA624D">
      <w:pPr>
        <w:pStyle w:val="2"/>
        <w:numPr>
          <w:ilvl w:val="0"/>
          <w:numId w:val="15"/>
        </w:numPr>
        <w:rPr>
          <w:sz w:val="24"/>
          <w:szCs w:val="24"/>
        </w:rPr>
      </w:pPr>
      <w:bookmarkStart w:id="9" w:name="_Toc418451107"/>
      <w:r w:rsidRPr="00AA624D">
        <w:rPr>
          <w:sz w:val="24"/>
          <w:szCs w:val="24"/>
        </w:rPr>
        <w:t xml:space="preserve"> Визначення витрат на збут послуг з централізованого опалення </w:t>
      </w:r>
      <w:bookmarkEnd w:id="9"/>
    </w:p>
    <w:p w:rsidR="00AA624D" w:rsidRPr="00AA624D" w:rsidRDefault="00AA624D" w:rsidP="00AA624D">
      <w:pPr>
        <w:spacing w:before="120" w:after="120" w:line="240" w:lineRule="auto"/>
        <w:ind w:firstLine="360"/>
        <w:jc w:val="both"/>
        <w:rPr>
          <w:rFonts w:ascii="Times New Roman" w:hAnsi="Times New Roman"/>
          <w:iCs/>
          <w:sz w:val="24"/>
          <w:szCs w:val="24"/>
        </w:rPr>
      </w:pPr>
      <w:r w:rsidRPr="00AA624D">
        <w:rPr>
          <w:rFonts w:ascii="Times New Roman" w:hAnsi="Times New Roman"/>
          <w:iCs/>
          <w:sz w:val="24"/>
          <w:szCs w:val="24"/>
        </w:rPr>
        <w:t xml:space="preserve">До складу витрат  на збут відносяться витрати оплату праці </w:t>
      </w:r>
      <w:proofErr w:type="spellStart"/>
      <w:r w:rsidRPr="00AA624D">
        <w:rPr>
          <w:rFonts w:ascii="Times New Roman" w:hAnsi="Times New Roman"/>
          <w:iCs/>
          <w:sz w:val="24"/>
          <w:szCs w:val="24"/>
        </w:rPr>
        <w:t>бухгалтерата</w:t>
      </w:r>
      <w:proofErr w:type="spellEnd"/>
      <w:r w:rsidRPr="00AA624D">
        <w:rPr>
          <w:rFonts w:ascii="Times New Roman" w:hAnsi="Times New Roman"/>
          <w:iCs/>
          <w:sz w:val="24"/>
          <w:szCs w:val="24"/>
        </w:rPr>
        <w:t xml:space="preserve"> ЄСВ, представлені в Розрахунку витрат на оплату праці.</w:t>
      </w:r>
    </w:p>
    <w:p w:rsidR="00AA624D" w:rsidRPr="00AA624D" w:rsidRDefault="00AA624D" w:rsidP="00AA624D">
      <w:pPr>
        <w:pStyle w:val="a5"/>
        <w:spacing w:before="120" w:after="120" w:line="240" w:lineRule="auto"/>
        <w:contextualSpacing w:val="0"/>
        <w:jc w:val="both"/>
        <w:rPr>
          <w:rFonts w:ascii="Times New Roman" w:hAnsi="Times New Roman"/>
          <w:iCs/>
          <w:sz w:val="24"/>
          <w:szCs w:val="24"/>
          <w:highlight w:val="yellow"/>
        </w:rPr>
      </w:pPr>
    </w:p>
    <w:p w:rsidR="00AA624D" w:rsidRPr="00AA624D" w:rsidRDefault="00AA624D" w:rsidP="00AA624D">
      <w:pPr>
        <w:pStyle w:val="1"/>
        <w:numPr>
          <w:ilvl w:val="0"/>
          <w:numId w:val="14"/>
        </w:numPr>
        <w:spacing w:before="120" w:after="120"/>
        <w:jc w:val="center"/>
        <w:rPr>
          <w:rFonts w:ascii="Times New Roman" w:hAnsi="Times New Roman"/>
          <w:sz w:val="24"/>
          <w:szCs w:val="24"/>
        </w:rPr>
      </w:pPr>
      <w:bookmarkStart w:id="10" w:name="_Toc418451108"/>
      <w:r w:rsidRPr="00AA624D">
        <w:rPr>
          <w:rFonts w:ascii="Times New Roman" w:hAnsi="Times New Roman"/>
          <w:sz w:val="24"/>
          <w:szCs w:val="24"/>
        </w:rPr>
        <w:t>Розподіл загальновиробничих та адміністративних витрат  між видами діяльності</w:t>
      </w:r>
      <w:bookmarkEnd w:id="10"/>
    </w:p>
    <w:p w:rsidR="00AA624D" w:rsidRPr="00AA624D" w:rsidRDefault="00AA624D" w:rsidP="00AA624D">
      <w:pPr>
        <w:rPr>
          <w:rFonts w:ascii="Times New Roman" w:hAnsi="Times New Roman"/>
          <w:sz w:val="24"/>
          <w:szCs w:val="24"/>
          <w:lang w:eastAsia="ru-RU"/>
        </w:rPr>
      </w:pPr>
    </w:p>
    <w:p w:rsidR="00AA624D" w:rsidRPr="00AA624D" w:rsidRDefault="00AA624D" w:rsidP="00AA624D">
      <w:pPr>
        <w:spacing w:after="0" w:line="240" w:lineRule="auto"/>
        <w:ind w:firstLine="709"/>
        <w:jc w:val="both"/>
        <w:rPr>
          <w:rFonts w:ascii="Times New Roman" w:hAnsi="Times New Roman"/>
          <w:sz w:val="24"/>
          <w:szCs w:val="24"/>
        </w:rPr>
      </w:pPr>
      <w:r w:rsidRPr="00AA624D">
        <w:rPr>
          <w:rFonts w:ascii="Times New Roman" w:hAnsi="Times New Roman"/>
          <w:b/>
          <w:sz w:val="24"/>
          <w:szCs w:val="24"/>
        </w:rPr>
        <w:t xml:space="preserve">Розподіл загальновиробничих витрат та адміністративних витрат між  ліцензованими видами діяльності </w:t>
      </w:r>
      <w:r w:rsidRPr="00AA624D">
        <w:rPr>
          <w:rFonts w:ascii="Times New Roman" w:hAnsi="Times New Roman"/>
          <w:sz w:val="24"/>
          <w:szCs w:val="24"/>
        </w:rPr>
        <w:t>(виробництво, транспортування, постачання ТЕ)</w:t>
      </w:r>
      <w:r w:rsidRPr="00AA624D">
        <w:rPr>
          <w:rFonts w:ascii="Times New Roman" w:hAnsi="Times New Roman"/>
          <w:b/>
          <w:sz w:val="24"/>
          <w:szCs w:val="24"/>
        </w:rPr>
        <w:t xml:space="preserve"> та </w:t>
      </w:r>
      <w:proofErr w:type="spellStart"/>
      <w:r w:rsidRPr="00AA624D">
        <w:rPr>
          <w:rFonts w:ascii="Times New Roman" w:hAnsi="Times New Roman"/>
          <w:b/>
          <w:sz w:val="24"/>
          <w:szCs w:val="24"/>
        </w:rPr>
        <w:t>неліцензованими</w:t>
      </w:r>
      <w:proofErr w:type="spellEnd"/>
      <w:r w:rsidRPr="00AA624D">
        <w:rPr>
          <w:rFonts w:ascii="Times New Roman" w:hAnsi="Times New Roman"/>
          <w:b/>
          <w:sz w:val="24"/>
          <w:szCs w:val="24"/>
        </w:rPr>
        <w:t xml:space="preserve"> видами діяльності </w:t>
      </w:r>
      <w:r w:rsidRPr="00AA624D">
        <w:rPr>
          <w:rFonts w:ascii="Times New Roman" w:hAnsi="Times New Roman"/>
          <w:sz w:val="24"/>
          <w:szCs w:val="24"/>
        </w:rPr>
        <w:t xml:space="preserve">(утримання будинків та прибудинкових територій та комплексним обслуговуванням офісного комплексу з влаштуванням підземного парку) здійснено відповідно до П(С)БО №16 «Витрати» та відповідно до Наказу про облікову політику підприємства,пропорційно розрахункової чисельності основного персоналу задіяного у відповідному виді діяльності, зокрема: </w:t>
      </w:r>
    </w:p>
    <w:p w:rsidR="00AA624D" w:rsidRPr="00AA624D" w:rsidRDefault="00AA624D" w:rsidP="00AA624D">
      <w:pPr>
        <w:spacing w:before="120" w:after="120" w:line="240" w:lineRule="auto"/>
        <w:ind w:firstLine="709"/>
        <w:jc w:val="both"/>
        <w:rPr>
          <w:rFonts w:ascii="Times New Roman" w:hAnsi="Times New Roman"/>
          <w:sz w:val="24"/>
          <w:szCs w:val="24"/>
        </w:rPr>
      </w:pPr>
    </w:p>
    <w:tbl>
      <w:tblPr>
        <w:tblW w:w="10073" w:type="dxa"/>
        <w:tblInd w:w="-751" w:type="dxa"/>
        <w:tblLayout w:type="fixed"/>
        <w:tblLook w:val="04A0"/>
      </w:tblPr>
      <w:tblGrid>
        <w:gridCol w:w="1285"/>
        <w:gridCol w:w="709"/>
        <w:gridCol w:w="709"/>
        <w:gridCol w:w="1134"/>
        <w:gridCol w:w="708"/>
        <w:gridCol w:w="708"/>
        <w:gridCol w:w="852"/>
        <w:gridCol w:w="992"/>
        <w:gridCol w:w="1275"/>
        <w:gridCol w:w="1701"/>
      </w:tblGrid>
      <w:tr w:rsidR="00AA624D" w:rsidRPr="00AA624D" w:rsidTr="00AA624D">
        <w:trPr>
          <w:trHeight w:val="270"/>
        </w:trPr>
        <w:tc>
          <w:tcPr>
            <w:tcW w:w="12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Показник</w:t>
            </w:r>
          </w:p>
        </w:tc>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 xml:space="preserve">Од. </w:t>
            </w:r>
            <w:proofErr w:type="spellStart"/>
            <w:r w:rsidRPr="00AA624D">
              <w:rPr>
                <w:rFonts w:ascii="Times New Roman" w:eastAsia="Times New Roman" w:hAnsi="Times New Roman"/>
                <w:b/>
                <w:bCs/>
                <w:sz w:val="20"/>
                <w:szCs w:val="20"/>
                <w:lang w:eastAsia="uk-UA"/>
              </w:rPr>
              <w:t>вим</w:t>
            </w:r>
            <w:proofErr w:type="spellEnd"/>
            <w:r w:rsidRPr="00AA624D">
              <w:rPr>
                <w:rFonts w:ascii="Times New Roman" w:eastAsia="Times New Roman" w:hAnsi="Times New Roman"/>
                <w:b/>
                <w:bCs/>
                <w:sz w:val="20"/>
                <w:szCs w:val="20"/>
                <w:lang w:eastAsia="uk-UA"/>
              </w:rPr>
              <w:t>.</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План 2017 рік</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Витрати для розподілу між В Т П ТЕ</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в тому числі</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Надання послуг з ЦО населенню</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0"/>
                <w:szCs w:val="20"/>
                <w:lang w:eastAsia="uk-UA"/>
              </w:rPr>
            </w:pPr>
            <w:r w:rsidRPr="00AA624D">
              <w:rPr>
                <w:rFonts w:ascii="Times New Roman" w:eastAsia="Times New Roman" w:hAnsi="Times New Roman"/>
                <w:b/>
                <w:bCs/>
                <w:sz w:val="20"/>
                <w:szCs w:val="20"/>
                <w:lang w:eastAsia="uk-UA"/>
              </w:rPr>
              <w:t>Утримання будинків та надання комунальних послуг житловому будинку</w:t>
            </w:r>
          </w:p>
        </w:tc>
        <w:tc>
          <w:tcPr>
            <w:tcW w:w="1701" w:type="dxa"/>
            <w:vMerge w:val="restart"/>
            <w:tcBorders>
              <w:top w:val="single" w:sz="8" w:space="0" w:color="auto"/>
              <w:left w:val="single" w:sz="8" w:space="0" w:color="auto"/>
              <w:right w:val="single" w:sz="8" w:space="0" w:color="auto"/>
            </w:tcBorders>
            <w:vAlign w:val="center"/>
          </w:tcPr>
          <w:p w:rsidR="00AA624D" w:rsidRPr="00AA624D" w:rsidRDefault="00AA624D" w:rsidP="00D12FAF">
            <w:pPr>
              <w:jc w:val="center"/>
              <w:rPr>
                <w:rFonts w:ascii="Times New Roman" w:eastAsia="Times New Roman" w:hAnsi="Times New Roman"/>
                <w:b/>
                <w:sz w:val="20"/>
                <w:szCs w:val="20"/>
                <w:lang w:eastAsia="uk-UA"/>
              </w:rPr>
            </w:pPr>
            <w:r w:rsidRPr="00AA624D">
              <w:rPr>
                <w:rFonts w:ascii="Times New Roman" w:eastAsia="Times New Roman" w:hAnsi="Times New Roman"/>
                <w:b/>
                <w:sz w:val="20"/>
                <w:szCs w:val="20"/>
                <w:lang w:eastAsia="uk-UA"/>
              </w:rPr>
              <w:t xml:space="preserve">Комплексне обслуговування офісного комплексу з влаштуванням підземного </w:t>
            </w:r>
            <w:proofErr w:type="spellStart"/>
            <w:r w:rsidRPr="00AA624D">
              <w:rPr>
                <w:rFonts w:ascii="Times New Roman" w:eastAsia="Times New Roman" w:hAnsi="Times New Roman"/>
                <w:b/>
                <w:sz w:val="20"/>
                <w:szCs w:val="20"/>
                <w:lang w:eastAsia="uk-UA"/>
              </w:rPr>
              <w:t>паркінгу</w:t>
            </w:r>
            <w:proofErr w:type="spellEnd"/>
          </w:p>
        </w:tc>
      </w:tr>
      <w:tr w:rsidR="00AA624D" w:rsidRPr="00AA624D" w:rsidTr="00AA624D">
        <w:trPr>
          <w:trHeight w:val="1629"/>
        </w:trPr>
        <w:tc>
          <w:tcPr>
            <w:tcW w:w="128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709" w:type="dxa"/>
            <w:vMerge/>
            <w:tcBorders>
              <w:top w:val="single" w:sz="8" w:space="0" w:color="auto"/>
              <w:left w:val="single" w:sz="8" w:space="0" w:color="auto"/>
              <w:bottom w:val="single" w:sz="8" w:space="0" w:color="000000"/>
              <w:right w:val="nil"/>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708" w:type="dxa"/>
            <w:tcBorders>
              <w:top w:val="nil"/>
              <w:left w:val="nil"/>
              <w:bottom w:val="single" w:sz="8" w:space="0" w:color="auto"/>
              <w:right w:val="nil"/>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4"/>
                <w:szCs w:val="24"/>
                <w:lang w:eastAsia="uk-UA"/>
              </w:rPr>
            </w:pPr>
            <w:r w:rsidRPr="00AA624D">
              <w:rPr>
                <w:rFonts w:ascii="Times New Roman" w:eastAsia="Times New Roman" w:hAnsi="Times New Roman"/>
                <w:b/>
                <w:bCs/>
                <w:sz w:val="24"/>
                <w:szCs w:val="24"/>
                <w:lang w:eastAsia="uk-UA"/>
              </w:rPr>
              <w:t>В Е</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4"/>
                <w:szCs w:val="24"/>
                <w:lang w:eastAsia="uk-UA"/>
              </w:rPr>
            </w:pPr>
            <w:r w:rsidRPr="00AA624D">
              <w:rPr>
                <w:rFonts w:ascii="Times New Roman" w:eastAsia="Times New Roman" w:hAnsi="Times New Roman"/>
                <w:b/>
                <w:bCs/>
                <w:sz w:val="24"/>
                <w:szCs w:val="24"/>
                <w:lang w:eastAsia="uk-UA"/>
              </w:rPr>
              <w:t>Т Е</w:t>
            </w:r>
          </w:p>
        </w:tc>
        <w:tc>
          <w:tcPr>
            <w:tcW w:w="852" w:type="dxa"/>
            <w:tcBorders>
              <w:top w:val="nil"/>
              <w:left w:val="nil"/>
              <w:bottom w:val="single" w:sz="8" w:space="0" w:color="auto"/>
              <w:right w:val="nil"/>
            </w:tcBorders>
            <w:shd w:val="clear" w:color="auto" w:fill="auto"/>
            <w:vAlign w:val="center"/>
            <w:hideMark/>
          </w:tcPr>
          <w:p w:rsidR="00AA624D" w:rsidRPr="00AA624D" w:rsidRDefault="00AA624D" w:rsidP="00D12FAF">
            <w:pPr>
              <w:spacing w:after="0" w:line="240" w:lineRule="auto"/>
              <w:ind w:left="-108" w:firstLine="108"/>
              <w:jc w:val="center"/>
              <w:rPr>
                <w:rFonts w:ascii="Times New Roman" w:eastAsia="Times New Roman" w:hAnsi="Times New Roman"/>
                <w:b/>
                <w:bCs/>
                <w:sz w:val="24"/>
                <w:szCs w:val="24"/>
                <w:lang w:eastAsia="uk-UA"/>
              </w:rPr>
            </w:pPr>
            <w:r w:rsidRPr="00AA624D">
              <w:rPr>
                <w:rFonts w:ascii="Times New Roman" w:eastAsia="Times New Roman" w:hAnsi="Times New Roman"/>
                <w:b/>
                <w:bCs/>
                <w:sz w:val="24"/>
                <w:szCs w:val="24"/>
                <w:lang w:eastAsia="uk-UA"/>
              </w:rPr>
              <w:t>ПТЕ</w:t>
            </w: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A624D" w:rsidRPr="00AA624D" w:rsidRDefault="00AA624D" w:rsidP="00D12FAF">
            <w:pPr>
              <w:spacing w:after="0" w:line="240" w:lineRule="auto"/>
              <w:rPr>
                <w:rFonts w:ascii="Times New Roman" w:eastAsia="Times New Roman" w:hAnsi="Times New Roman"/>
                <w:b/>
                <w:bCs/>
                <w:sz w:val="24"/>
                <w:szCs w:val="24"/>
                <w:lang w:eastAsia="uk-UA"/>
              </w:rPr>
            </w:pPr>
          </w:p>
        </w:tc>
        <w:tc>
          <w:tcPr>
            <w:tcW w:w="1701" w:type="dxa"/>
            <w:vMerge/>
            <w:tcBorders>
              <w:left w:val="single" w:sz="8" w:space="0" w:color="auto"/>
              <w:bottom w:val="single" w:sz="8" w:space="0" w:color="000000"/>
              <w:right w:val="single" w:sz="8" w:space="0" w:color="auto"/>
            </w:tcBorders>
          </w:tcPr>
          <w:p w:rsidR="00AA624D" w:rsidRPr="00AA624D" w:rsidRDefault="00AA624D" w:rsidP="00D12FAF">
            <w:pPr>
              <w:spacing w:after="0" w:line="240" w:lineRule="auto"/>
              <w:rPr>
                <w:rFonts w:ascii="Times New Roman" w:eastAsia="Times New Roman" w:hAnsi="Times New Roman"/>
                <w:b/>
                <w:bCs/>
                <w:sz w:val="24"/>
                <w:szCs w:val="24"/>
                <w:lang w:eastAsia="uk-UA"/>
              </w:rPr>
            </w:pPr>
          </w:p>
        </w:tc>
      </w:tr>
      <w:tr w:rsidR="00AA624D" w:rsidRPr="00AA624D" w:rsidTr="00AA624D">
        <w:trPr>
          <w:trHeight w:val="270"/>
        </w:trPr>
        <w:tc>
          <w:tcPr>
            <w:tcW w:w="1285" w:type="dxa"/>
            <w:tcBorders>
              <w:top w:val="nil"/>
              <w:left w:val="single" w:sz="8" w:space="0" w:color="auto"/>
              <w:bottom w:val="single" w:sz="4" w:space="0" w:color="auto"/>
              <w:right w:val="nil"/>
            </w:tcBorders>
            <w:shd w:val="clear" w:color="auto" w:fill="auto"/>
            <w:vAlign w:val="bottom"/>
            <w:hideMark/>
          </w:tcPr>
          <w:p w:rsidR="00AA624D" w:rsidRPr="00AA624D" w:rsidRDefault="00AA624D" w:rsidP="00D12FAF">
            <w:pPr>
              <w:spacing w:after="0" w:line="240" w:lineRule="auto"/>
              <w:rPr>
                <w:rFonts w:ascii="Times New Roman" w:eastAsia="Times New Roman" w:hAnsi="Times New Roman"/>
                <w:sz w:val="20"/>
                <w:szCs w:val="20"/>
                <w:lang w:eastAsia="uk-UA"/>
              </w:rPr>
            </w:pPr>
            <w:r w:rsidRPr="00AA624D">
              <w:rPr>
                <w:rFonts w:ascii="Times New Roman" w:eastAsia="Times New Roman" w:hAnsi="Times New Roman"/>
                <w:sz w:val="20"/>
                <w:szCs w:val="20"/>
                <w:lang w:eastAsia="uk-UA"/>
              </w:rPr>
              <w:t>Кількість осіб згідно штатного розпису</w:t>
            </w:r>
          </w:p>
        </w:tc>
        <w:tc>
          <w:tcPr>
            <w:tcW w:w="709"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sz w:val="20"/>
                <w:szCs w:val="20"/>
                <w:lang w:eastAsia="uk-UA"/>
              </w:rPr>
            </w:pPr>
            <w:r w:rsidRPr="00AA624D">
              <w:rPr>
                <w:rFonts w:ascii="Times New Roman" w:eastAsia="Times New Roman" w:hAnsi="Times New Roman"/>
                <w:sz w:val="20"/>
                <w:szCs w:val="20"/>
                <w:lang w:eastAsia="uk-UA"/>
              </w:rPr>
              <w:t>осіб</w:t>
            </w:r>
          </w:p>
        </w:tc>
        <w:tc>
          <w:tcPr>
            <w:tcW w:w="709"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10,50</w:t>
            </w:r>
          </w:p>
        </w:tc>
        <w:tc>
          <w:tcPr>
            <w:tcW w:w="1134"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1,00</w:t>
            </w:r>
          </w:p>
        </w:tc>
        <w:tc>
          <w:tcPr>
            <w:tcW w:w="708"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0,50</w:t>
            </w:r>
          </w:p>
        </w:tc>
        <w:tc>
          <w:tcPr>
            <w:tcW w:w="708"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0,00</w:t>
            </w:r>
          </w:p>
        </w:tc>
        <w:tc>
          <w:tcPr>
            <w:tcW w:w="852"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0,50</w:t>
            </w:r>
          </w:p>
        </w:tc>
        <w:tc>
          <w:tcPr>
            <w:tcW w:w="992" w:type="dxa"/>
            <w:tcBorders>
              <w:top w:val="nil"/>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0,50</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1,00</w:t>
            </w:r>
          </w:p>
        </w:tc>
        <w:tc>
          <w:tcPr>
            <w:tcW w:w="1701" w:type="dxa"/>
            <w:tcBorders>
              <w:top w:val="nil"/>
              <w:left w:val="single" w:sz="8" w:space="0" w:color="auto"/>
              <w:bottom w:val="single" w:sz="4" w:space="0" w:color="auto"/>
              <w:right w:val="single" w:sz="8" w:space="0" w:color="auto"/>
            </w:tcBorders>
            <w:vAlign w:val="center"/>
          </w:tcPr>
          <w:p w:rsidR="00AA624D" w:rsidRPr="00AA624D" w:rsidRDefault="00AA624D" w:rsidP="00D12FAF">
            <w:pPr>
              <w:jc w:val="center"/>
              <w:rPr>
                <w:rFonts w:ascii="Times New Roman" w:hAnsi="Times New Roman"/>
                <w:sz w:val="20"/>
                <w:szCs w:val="20"/>
              </w:rPr>
            </w:pPr>
            <w:r w:rsidRPr="00AA624D">
              <w:rPr>
                <w:rFonts w:ascii="Times New Roman" w:hAnsi="Times New Roman"/>
                <w:sz w:val="20"/>
                <w:szCs w:val="20"/>
              </w:rPr>
              <w:t>8,00</w:t>
            </w:r>
          </w:p>
        </w:tc>
      </w:tr>
      <w:tr w:rsidR="00AA624D" w:rsidRPr="00AA624D" w:rsidTr="00AA624D">
        <w:trPr>
          <w:trHeight w:val="359"/>
        </w:trPr>
        <w:tc>
          <w:tcPr>
            <w:tcW w:w="10073" w:type="dxa"/>
            <w:gridSpan w:val="10"/>
            <w:tcBorders>
              <w:top w:val="single" w:sz="4" w:space="0" w:color="auto"/>
              <w:left w:val="single" w:sz="8" w:space="0" w:color="auto"/>
              <w:bottom w:val="single" w:sz="4" w:space="0" w:color="auto"/>
              <w:right w:val="single" w:sz="8" w:space="0" w:color="auto"/>
            </w:tcBorders>
            <w:shd w:val="clear" w:color="auto" w:fill="auto"/>
            <w:vAlign w:val="center"/>
            <w:hideMark/>
          </w:tcPr>
          <w:p w:rsidR="00AA624D" w:rsidRPr="00AA624D" w:rsidRDefault="00AA624D" w:rsidP="00D12FAF">
            <w:pPr>
              <w:spacing w:after="0" w:line="240" w:lineRule="auto"/>
              <w:jc w:val="center"/>
              <w:rPr>
                <w:rFonts w:ascii="Times New Roman" w:eastAsia="Times New Roman" w:hAnsi="Times New Roman"/>
                <w:b/>
                <w:bCs/>
                <w:sz w:val="24"/>
                <w:szCs w:val="24"/>
                <w:lang w:eastAsia="uk-UA"/>
              </w:rPr>
            </w:pPr>
            <w:r w:rsidRPr="00AA624D">
              <w:rPr>
                <w:rFonts w:ascii="Times New Roman" w:eastAsia="Times New Roman" w:hAnsi="Times New Roman"/>
                <w:b/>
                <w:bCs/>
                <w:sz w:val="24"/>
                <w:szCs w:val="24"/>
                <w:lang w:eastAsia="uk-UA"/>
              </w:rPr>
              <w:t>База розподілу загальновиробничих  та адміністративних витрат, що підлягають розподілу між видами діяльності пропорційно:</w:t>
            </w:r>
          </w:p>
        </w:tc>
      </w:tr>
      <w:tr w:rsidR="00AA624D" w:rsidRPr="00AA624D" w:rsidTr="00AA624D">
        <w:trPr>
          <w:trHeight w:val="345"/>
        </w:trPr>
        <w:tc>
          <w:tcPr>
            <w:tcW w:w="1285" w:type="dxa"/>
            <w:tcBorders>
              <w:top w:val="single" w:sz="4" w:space="0" w:color="auto"/>
              <w:left w:val="single" w:sz="8" w:space="0" w:color="auto"/>
              <w:bottom w:val="single" w:sz="4" w:space="0" w:color="auto"/>
              <w:right w:val="nil"/>
            </w:tcBorders>
            <w:shd w:val="clear" w:color="auto" w:fill="auto"/>
            <w:vAlign w:val="bottom"/>
            <w:hideMark/>
          </w:tcPr>
          <w:p w:rsidR="00AA624D" w:rsidRPr="00AA624D" w:rsidRDefault="00AA624D" w:rsidP="00D12FAF">
            <w:pPr>
              <w:spacing w:after="0" w:line="240" w:lineRule="auto"/>
              <w:rPr>
                <w:rFonts w:ascii="Times New Roman" w:eastAsia="Times New Roman" w:hAnsi="Times New Roman"/>
                <w:sz w:val="20"/>
                <w:szCs w:val="20"/>
                <w:lang w:eastAsia="uk-UA"/>
              </w:rPr>
            </w:pPr>
            <w:r w:rsidRPr="00AA624D">
              <w:rPr>
                <w:rFonts w:ascii="Times New Roman" w:eastAsia="Times New Roman" w:hAnsi="Times New Roman"/>
                <w:sz w:val="20"/>
                <w:szCs w:val="20"/>
                <w:lang w:eastAsia="uk-UA"/>
              </w:rPr>
              <w:t>Чисельності працівників</w:t>
            </w:r>
          </w:p>
        </w:tc>
        <w:tc>
          <w:tcPr>
            <w:tcW w:w="709" w:type="dxa"/>
            <w:tcBorders>
              <w:top w:val="single" w:sz="4" w:space="0" w:color="auto"/>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100,00%</w:t>
            </w:r>
          </w:p>
        </w:tc>
        <w:tc>
          <w:tcPr>
            <w:tcW w:w="709" w:type="dxa"/>
            <w:tcBorders>
              <w:top w:val="single" w:sz="4" w:space="0" w:color="auto"/>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9,52%</w:t>
            </w:r>
          </w:p>
        </w:tc>
        <w:tc>
          <w:tcPr>
            <w:tcW w:w="1134" w:type="dxa"/>
            <w:tcBorders>
              <w:top w:val="single" w:sz="4" w:space="0" w:color="auto"/>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4,76%</w:t>
            </w:r>
          </w:p>
        </w:tc>
        <w:tc>
          <w:tcPr>
            <w:tcW w:w="708" w:type="dxa"/>
            <w:tcBorders>
              <w:top w:val="single" w:sz="4" w:space="0" w:color="auto"/>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0,00%</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4,76%</w:t>
            </w:r>
          </w:p>
        </w:tc>
        <w:tc>
          <w:tcPr>
            <w:tcW w:w="852" w:type="dxa"/>
            <w:tcBorders>
              <w:top w:val="single" w:sz="4" w:space="0" w:color="auto"/>
              <w:left w:val="nil"/>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4,76%</w:t>
            </w:r>
          </w:p>
        </w:tc>
        <w:tc>
          <w:tcPr>
            <w:tcW w:w="992" w:type="dxa"/>
            <w:tcBorders>
              <w:top w:val="single" w:sz="4" w:space="0" w:color="auto"/>
              <w:left w:val="single" w:sz="8" w:space="0" w:color="auto"/>
              <w:bottom w:val="single" w:sz="4" w:space="0" w:color="auto"/>
              <w:right w:val="nil"/>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9,52%</w:t>
            </w: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76,19%</w:t>
            </w:r>
          </w:p>
        </w:tc>
        <w:tc>
          <w:tcPr>
            <w:tcW w:w="1701" w:type="dxa"/>
            <w:tcBorders>
              <w:top w:val="single" w:sz="4" w:space="0" w:color="auto"/>
              <w:left w:val="single" w:sz="8" w:space="0" w:color="auto"/>
              <w:bottom w:val="single" w:sz="4" w:space="0" w:color="auto"/>
              <w:right w:val="single" w:sz="8" w:space="0" w:color="auto"/>
            </w:tcBorders>
            <w:vAlign w:val="center"/>
          </w:tcPr>
          <w:p w:rsidR="00AA624D" w:rsidRPr="00AA624D" w:rsidRDefault="00AA624D" w:rsidP="00D12FAF">
            <w:pPr>
              <w:jc w:val="center"/>
              <w:rPr>
                <w:rFonts w:ascii="Times New Roman" w:hAnsi="Times New Roman"/>
                <w:b/>
                <w:bCs/>
                <w:sz w:val="20"/>
                <w:szCs w:val="20"/>
              </w:rPr>
            </w:pPr>
            <w:r w:rsidRPr="00AA624D">
              <w:rPr>
                <w:rFonts w:ascii="Times New Roman" w:hAnsi="Times New Roman"/>
                <w:b/>
                <w:bCs/>
                <w:sz w:val="20"/>
                <w:szCs w:val="20"/>
              </w:rPr>
              <w:t>100,00%</w:t>
            </w:r>
          </w:p>
        </w:tc>
      </w:tr>
    </w:tbl>
    <w:p w:rsidR="00AA624D" w:rsidRPr="00AA624D" w:rsidRDefault="00AA624D" w:rsidP="00AA624D">
      <w:pPr>
        <w:spacing w:before="120" w:after="120" w:line="240" w:lineRule="auto"/>
        <w:ind w:left="709"/>
        <w:jc w:val="both"/>
        <w:rPr>
          <w:rFonts w:ascii="Times New Roman" w:hAnsi="Times New Roman"/>
          <w:b/>
          <w:sz w:val="24"/>
          <w:szCs w:val="24"/>
        </w:rPr>
      </w:pPr>
    </w:p>
    <w:p w:rsidR="00AA624D" w:rsidRPr="00AA624D" w:rsidRDefault="00AA624D" w:rsidP="00AA624D">
      <w:pPr>
        <w:spacing w:after="0" w:line="240" w:lineRule="auto"/>
        <w:ind w:left="709"/>
        <w:jc w:val="both"/>
        <w:rPr>
          <w:rFonts w:ascii="Times New Roman" w:hAnsi="Times New Roman"/>
          <w:sz w:val="24"/>
          <w:szCs w:val="24"/>
        </w:rPr>
      </w:pPr>
      <w:r w:rsidRPr="00AA624D">
        <w:rPr>
          <w:rFonts w:ascii="Times New Roman" w:hAnsi="Times New Roman"/>
          <w:b/>
          <w:sz w:val="24"/>
          <w:szCs w:val="24"/>
        </w:rPr>
        <w:lastRenderedPageBreak/>
        <w:t xml:space="preserve">Розподіл загальновиробничих витрат та адміністративних витрат між  видами діяльності </w:t>
      </w:r>
      <w:r w:rsidRPr="00AA624D">
        <w:rPr>
          <w:rFonts w:ascii="Times New Roman" w:hAnsi="Times New Roman"/>
          <w:sz w:val="24"/>
          <w:szCs w:val="24"/>
        </w:rPr>
        <w:t xml:space="preserve">- виробництво, транспортуванням, постачання теплової енергії здійснено відповідно до Постанови КМУ № 869, зокрема: </w:t>
      </w:r>
    </w:p>
    <w:p w:rsidR="00AA624D" w:rsidRPr="00AA624D" w:rsidRDefault="00AA624D" w:rsidP="00AA624D">
      <w:pPr>
        <w:numPr>
          <w:ilvl w:val="0"/>
          <w:numId w:val="3"/>
        </w:numPr>
        <w:spacing w:after="0" w:line="240" w:lineRule="auto"/>
        <w:jc w:val="both"/>
        <w:rPr>
          <w:rFonts w:ascii="Times New Roman" w:hAnsi="Times New Roman"/>
          <w:sz w:val="24"/>
          <w:szCs w:val="24"/>
        </w:rPr>
      </w:pPr>
      <w:r w:rsidRPr="00AA624D">
        <w:rPr>
          <w:rFonts w:ascii="Times New Roman" w:hAnsi="Times New Roman"/>
          <w:sz w:val="24"/>
          <w:szCs w:val="24"/>
        </w:rPr>
        <w:t>Змінні загальновиробничі та постійні розподілені загальновиробничі витрати розподіляються між видами діяльності пропорційно прямим витратам з урахуванням витрат на збут</w:t>
      </w:r>
    </w:p>
    <w:p w:rsidR="00AA624D" w:rsidRPr="00AA624D" w:rsidRDefault="00AA624D" w:rsidP="00AA624D">
      <w:pPr>
        <w:numPr>
          <w:ilvl w:val="0"/>
          <w:numId w:val="2"/>
        </w:numPr>
        <w:spacing w:after="0" w:line="240" w:lineRule="auto"/>
        <w:ind w:left="714" w:hanging="357"/>
        <w:rPr>
          <w:rFonts w:ascii="Times New Roman" w:hAnsi="Times New Roman"/>
          <w:sz w:val="24"/>
          <w:szCs w:val="24"/>
        </w:rPr>
      </w:pPr>
      <w:r w:rsidRPr="00AA624D">
        <w:rPr>
          <w:rFonts w:ascii="Times New Roman" w:hAnsi="Times New Roman"/>
          <w:sz w:val="24"/>
          <w:szCs w:val="24"/>
        </w:rPr>
        <w:t>Адміністративні витрати розподіляються між видами діяльності пропорційно виробничій собівартості з урахуванням витрат на збут.</w:t>
      </w:r>
    </w:p>
    <w:p w:rsidR="00AA624D" w:rsidRPr="00AA624D" w:rsidRDefault="00AA624D" w:rsidP="00AA624D">
      <w:pPr>
        <w:spacing w:before="120" w:after="120" w:line="240" w:lineRule="auto"/>
        <w:rPr>
          <w:rFonts w:ascii="Times New Roman" w:hAnsi="Times New Roman"/>
          <w:b/>
          <w:sz w:val="24"/>
          <w:szCs w:val="24"/>
        </w:rPr>
      </w:pPr>
      <w:bookmarkStart w:id="11" w:name="_GoBack"/>
      <w:bookmarkEnd w:id="11"/>
      <w:r w:rsidRPr="00AA624D">
        <w:rPr>
          <w:rFonts w:ascii="Times New Roman" w:hAnsi="Times New Roman"/>
          <w:b/>
          <w:sz w:val="24"/>
          <w:szCs w:val="24"/>
        </w:rPr>
        <w:t xml:space="preserve">Розподіл витрат наведено в таблиці нижче. </w:t>
      </w:r>
    </w:p>
    <w:tbl>
      <w:tblPr>
        <w:tblW w:w="10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818"/>
        <w:gridCol w:w="1252"/>
        <w:gridCol w:w="1134"/>
        <w:gridCol w:w="1319"/>
        <w:gridCol w:w="1473"/>
        <w:gridCol w:w="1220"/>
      </w:tblGrid>
      <w:tr w:rsidR="00AA624D" w:rsidRPr="00AA624D" w:rsidTr="00D12FAF">
        <w:trPr>
          <w:trHeight w:val="330"/>
        </w:trPr>
        <w:tc>
          <w:tcPr>
            <w:tcW w:w="3818" w:type="dxa"/>
            <w:vMerge w:val="restart"/>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Витрати</w:t>
            </w:r>
          </w:p>
        </w:tc>
        <w:tc>
          <w:tcPr>
            <w:tcW w:w="1252" w:type="dxa"/>
            <w:vMerge w:val="restart"/>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Одиниці виміру</w:t>
            </w:r>
          </w:p>
        </w:tc>
        <w:tc>
          <w:tcPr>
            <w:tcW w:w="1134" w:type="dxa"/>
            <w:vMerge w:val="restart"/>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План 2017 рік</w:t>
            </w:r>
          </w:p>
        </w:tc>
        <w:tc>
          <w:tcPr>
            <w:tcW w:w="4012" w:type="dxa"/>
            <w:gridSpan w:val="3"/>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в тому числі</w:t>
            </w:r>
          </w:p>
        </w:tc>
      </w:tr>
      <w:tr w:rsidR="00AA624D" w:rsidRPr="00AA624D" w:rsidTr="00D12FAF">
        <w:trPr>
          <w:trHeight w:val="740"/>
        </w:trPr>
        <w:tc>
          <w:tcPr>
            <w:tcW w:w="3818" w:type="dxa"/>
            <w:vMerge/>
            <w:vAlign w:val="center"/>
          </w:tcPr>
          <w:p w:rsidR="00AA624D" w:rsidRPr="00AA624D" w:rsidRDefault="00AA624D" w:rsidP="00D12FAF">
            <w:pPr>
              <w:spacing w:after="0" w:line="240" w:lineRule="auto"/>
              <w:rPr>
                <w:rFonts w:ascii="Times New Roman" w:hAnsi="Times New Roman"/>
                <w:b/>
                <w:bCs/>
                <w:sz w:val="24"/>
                <w:szCs w:val="24"/>
                <w:lang w:eastAsia="uk-UA"/>
              </w:rPr>
            </w:pPr>
          </w:p>
        </w:tc>
        <w:tc>
          <w:tcPr>
            <w:tcW w:w="1252" w:type="dxa"/>
            <w:vMerge/>
            <w:vAlign w:val="center"/>
          </w:tcPr>
          <w:p w:rsidR="00AA624D" w:rsidRPr="00AA624D" w:rsidRDefault="00AA624D" w:rsidP="00D12FAF">
            <w:pPr>
              <w:spacing w:after="0" w:line="240" w:lineRule="auto"/>
              <w:rPr>
                <w:rFonts w:ascii="Times New Roman" w:hAnsi="Times New Roman"/>
                <w:b/>
                <w:bCs/>
                <w:sz w:val="24"/>
                <w:szCs w:val="24"/>
                <w:lang w:eastAsia="uk-UA"/>
              </w:rPr>
            </w:pPr>
          </w:p>
        </w:tc>
        <w:tc>
          <w:tcPr>
            <w:tcW w:w="1134" w:type="dxa"/>
            <w:vMerge/>
            <w:vAlign w:val="center"/>
          </w:tcPr>
          <w:p w:rsidR="00AA624D" w:rsidRPr="00AA624D" w:rsidRDefault="00AA624D" w:rsidP="00D12FAF">
            <w:pPr>
              <w:spacing w:after="0" w:line="240" w:lineRule="auto"/>
              <w:rPr>
                <w:rFonts w:ascii="Times New Roman" w:hAnsi="Times New Roman"/>
                <w:b/>
                <w:bCs/>
                <w:sz w:val="24"/>
                <w:szCs w:val="24"/>
                <w:lang w:eastAsia="uk-UA"/>
              </w:rPr>
            </w:pPr>
          </w:p>
        </w:tc>
        <w:tc>
          <w:tcPr>
            <w:tcW w:w="1319" w:type="dxa"/>
            <w:vAlign w:val="center"/>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rPr>
              <w:t>Виробництво ТЕ</w:t>
            </w:r>
          </w:p>
        </w:tc>
        <w:tc>
          <w:tcPr>
            <w:tcW w:w="1473" w:type="dxa"/>
            <w:vAlign w:val="center"/>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rPr>
              <w:t>Транспортування ТЕ</w:t>
            </w:r>
          </w:p>
        </w:tc>
        <w:tc>
          <w:tcPr>
            <w:tcW w:w="1220" w:type="dxa"/>
            <w:vAlign w:val="center"/>
          </w:tcPr>
          <w:p w:rsidR="00AA624D" w:rsidRPr="00AA624D" w:rsidRDefault="00AA624D" w:rsidP="00D12FAF">
            <w:pPr>
              <w:spacing w:after="0" w:line="240" w:lineRule="auto"/>
              <w:jc w:val="center"/>
              <w:rPr>
                <w:rFonts w:ascii="Times New Roman" w:hAnsi="Times New Roman"/>
                <w:b/>
                <w:bCs/>
                <w:sz w:val="24"/>
                <w:szCs w:val="24"/>
                <w:lang w:eastAsia="uk-UA"/>
              </w:rPr>
            </w:pPr>
            <w:r w:rsidRPr="00AA624D">
              <w:rPr>
                <w:rFonts w:ascii="Times New Roman" w:hAnsi="Times New Roman"/>
                <w:b/>
                <w:bCs/>
                <w:sz w:val="24"/>
                <w:szCs w:val="24"/>
              </w:rPr>
              <w:t>Постачання ТЕ</w:t>
            </w:r>
          </w:p>
        </w:tc>
      </w:tr>
      <w:tr w:rsidR="00AA624D" w:rsidRPr="00AA624D" w:rsidTr="00D12FAF">
        <w:trPr>
          <w:trHeight w:val="334"/>
        </w:trPr>
        <w:tc>
          <w:tcPr>
            <w:tcW w:w="3818" w:type="dxa"/>
            <w:noWrap/>
            <w:vAlign w:val="center"/>
          </w:tcPr>
          <w:p w:rsidR="00AA624D" w:rsidRPr="00AA624D" w:rsidRDefault="00AA624D" w:rsidP="00D12FAF">
            <w:pPr>
              <w:spacing w:after="0" w:line="240" w:lineRule="auto"/>
              <w:rPr>
                <w:rFonts w:ascii="Times New Roman" w:hAnsi="Times New Roman"/>
                <w:b/>
                <w:bCs/>
                <w:sz w:val="24"/>
                <w:szCs w:val="24"/>
              </w:rPr>
            </w:pPr>
            <w:r w:rsidRPr="00AA624D">
              <w:rPr>
                <w:rFonts w:ascii="Times New Roman" w:hAnsi="Times New Roman"/>
                <w:b/>
                <w:bCs/>
                <w:sz w:val="24"/>
                <w:szCs w:val="24"/>
              </w:rPr>
              <w:t>Виробнича собівартість теплової енергії всього, у т. ч.:</w:t>
            </w:r>
          </w:p>
        </w:tc>
        <w:tc>
          <w:tcPr>
            <w:tcW w:w="1252" w:type="dxa"/>
            <w:noWrap/>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тис. грн.</w:t>
            </w:r>
          </w:p>
        </w:tc>
        <w:tc>
          <w:tcPr>
            <w:tcW w:w="1134"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1994,06</w:t>
            </w:r>
          </w:p>
        </w:tc>
        <w:tc>
          <w:tcPr>
            <w:tcW w:w="1319"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1924,10</w:t>
            </w:r>
          </w:p>
        </w:tc>
        <w:tc>
          <w:tcPr>
            <w:tcW w:w="1473"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220" w:type="dxa"/>
            <w:noWrap/>
            <w:vAlign w:val="bottom"/>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69,96</w:t>
            </w:r>
          </w:p>
        </w:tc>
      </w:tr>
      <w:tr w:rsidR="00AA624D" w:rsidRPr="00AA624D" w:rsidTr="00D12FAF">
        <w:trPr>
          <w:trHeight w:val="330"/>
        </w:trPr>
        <w:tc>
          <w:tcPr>
            <w:tcW w:w="3818" w:type="dxa"/>
            <w:vAlign w:val="center"/>
          </w:tcPr>
          <w:p w:rsidR="00AA624D" w:rsidRPr="00AA624D" w:rsidRDefault="00AA624D" w:rsidP="00D12FAF">
            <w:pPr>
              <w:spacing w:after="0" w:line="240" w:lineRule="auto"/>
              <w:rPr>
                <w:rFonts w:ascii="Times New Roman" w:hAnsi="Times New Roman"/>
                <w:bCs/>
                <w:sz w:val="24"/>
                <w:szCs w:val="24"/>
              </w:rPr>
            </w:pPr>
            <w:r w:rsidRPr="00AA624D">
              <w:rPr>
                <w:rFonts w:ascii="Times New Roman" w:hAnsi="Times New Roman"/>
                <w:bCs/>
                <w:sz w:val="24"/>
                <w:szCs w:val="24"/>
              </w:rPr>
              <w:t>Прямі витрати всього, у т. ч.:</w:t>
            </w:r>
          </w:p>
        </w:tc>
        <w:tc>
          <w:tcPr>
            <w:tcW w:w="1252" w:type="dxa"/>
            <w:vAlign w:val="center"/>
          </w:tcPr>
          <w:p w:rsidR="00AA624D" w:rsidRPr="00AA624D" w:rsidRDefault="00AA624D" w:rsidP="00D12FAF">
            <w:pPr>
              <w:spacing w:after="0" w:line="240" w:lineRule="auto"/>
              <w:jc w:val="center"/>
              <w:rPr>
                <w:rFonts w:ascii="Times New Roman" w:hAnsi="Times New Roman"/>
                <w:sz w:val="24"/>
                <w:szCs w:val="24"/>
              </w:rPr>
            </w:pPr>
            <w:r w:rsidRPr="00AA624D">
              <w:rPr>
                <w:rFonts w:ascii="Times New Roman" w:hAnsi="Times New Roman"/>
                <w:sz w:val="24"/>
                <w:szCs w:val="24"/>
              </w:rPr>
              <w:t>тис. грн.</w:t>
            </w:r>
          </w:p>
        </w:tc>
        <w:tc>
          <w:tcPr>
            <w:tcW w:w="1134"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1941,10</w:t>
            </w:r>
          </w:p>
        </w:tc>
        <w:tc>
          <w:tcPr>
            <w:tcW w:w="1319"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1872,99</w:t>
            </w:r>
          </w:p>
        </w:tc>
        <w:tc>
          <w:tcPr>
            <w:tcW w:w="1473"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0,00</w:t>
            </w:r>
          </w:p>
        </w:tc>
        <w:tc>
          <w:tcPr>
            <w:tcW w:w="1220"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68,10</w:t>
            </w:r>
          </w:p>
        </w:tc>
      </w:tr>
      <w:tr w:rsidR="00AA624D" w:rsidRPr="00AA624D" w:rsidTr="00D12FAF">
        <w:trPr>
          <w:trHeight w:val="330"/>
        </w:trPr>
        <w:tc>
          <w:tcPr>
            <w:tcW w:w="3818" w:type="dxa"/>
            <w:vAlign w:val="center"/>
          </w:tcPr>
          <w:p w:rsidR="00AA624D" w:rsidRPr="00AA624D" w:rsidRDefault="00AA624D" w:rsidP="00D12FAF">
            <w:pPr>
              <w:spacing w:after="0" w:line="240" w:lineRule="auto"/>
              <w:rPr>
                <w:rFonts w:ascii="Times New Roman" w:hAnsi="Times New Roman"/>
                <w:bCs/>
                <w:sz w:val="24"/>
                <w:szCs w:val="24"/>
              </w:rPr>
            </w:pPr>
            <w:r w:rsidRPr="00AA624D">
              <w:rPr>
                <w:rFonts w:ascii="Times New Roman" w:hAnsi="Times New Roman"/>
                <w:bCs/>
                <w:sz w:val="24"/>
                <w:szCs w:val="24"/>
              </w:rPr>
              <w:t>Загальновиробничі витрати</w:t>
            </w:r>
          </w:p>
        </w:tc>
        <w:tc>
          <w:tcPr>
            <w:tcW w:w="1252" w:type="dxa"/>
            <w:vAlign w:val="center"/>
          </w:tcPr>
          <w:p w:rsidR="00AA624D" w:rsidRPr="00AA624D" w:rsidRDefault="00AA624D" w:rsidP="00D12FAF">
            <w:pPr>
              <w:spacing w:after="0" w:line="240" w:lineRule="auto"/>
              <w:jc w:val="center"/>
              <w:rPr>
                <w:rFonts w:ascii="Times New Roman" w:hAnsi="Times New Roman"/>
                <w:sz w:val="24"/>
                <w:szCs w:val="24"/>
              </w:rPr>
            </w:pPr>
            <w:r w:rsidRPr="00AA624D">
              <w:rPr>
                <w:rFonts w:ascii="Times New Roman" w:hAnsi="Times New Roman"/>
                <w:sz w:val="24"/>
                <w:szCs w:val="24"/>
              </w:rPr>
              <w:t>тис. грн.</w:t>
            </w:r>
          </w:p>
        </w:tc>
        <w:tc>
          <w:tcPr>
            <w:tcW w:w="1134"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52,97</w:t>
            </w:r>
          </w:p>
        </w:tc>
        <w:tc>
          <w:tcPr>
            <w:tcW w:w="1319"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51,11</w:t>
            </w:r>
          </w:p>
        </w:tc>
        <w:tc>
          <w:tcPr>
            <w:tcW w:w="1473"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0,00</w:t>
            </w:r>
          </w:p>
        </w:tc>
        <w:tc>
          <w:tcPr>
            <w:tcW w:w="1220" w:type="dxa"/>
            <w:vAlign w:val="bottom"/>
          </w:tcPr>
          <w:p w:rsidR="00AA624D" w:rsidRPr="00AA624D" w:rsidRDefault="00AA624D" w:rsidP="00D12FAF">
            <w:pPr>
              <w:jc w:val="right"/>
              <w:rPr>
                <w:rFonts w:ascii="Times New Roman" w:hAnsi="Times New Roman"/>
                <w:sz w:val="24"/>
                <w:szCs w:val="24"/>
              </w:rPr>
            </w:pPr>
            <w:r w:rsidRPr="00AA624D">
              <w:rPr>
                <w:rFonts w:ascii="Times New Roman" w:hAnsi="Times New Roman"/>
                <w:sz w:val="24"/>
                <w:szCs w:val="24"/>
              </w:rPr>
              <w:t>1,86</w:t>
            </w:r>
          </w:p>
        </w:tc>
      </w:tr>
      <w:tr w:rsidR="00AA624D" w:rsidRPr="00AA624D" w:rsidTr="00D12FAF">
        <w:trPr>
          <w:trHeight w:val="484"/>
        </w:trPr>
        <w:tc>
          <w:tcPr>
            <w:tcW w:w="3818" w:type="dxa"/>
            <w:vAlign w:val="center"/>
          </w:tcPr>
          <w:p w:rsidR="00AA624D" w:rsidRPr="00AA624D" w:rsidRDefault="00AA624D" w:rsidP="00D12FAF">
            <w:pPr>
              <w:spacing w:after="0" w:line="240" w:lineRule="auto"/>
              <w:rPr>
                <w:rFonts w:ascii="Times New Roman" w:hAnsi="Times New Roman"/>
                <w:b/>
                <w:bCs/>
                <w:sz w:val="24"/>
                <w:szCs w:val="24"/>
              </w:rPr>
            </w:pPr>
            <w:r w:rsidRPr="00AA624D">
              <w:rPr>
                <w:rFonts w:ascii="Times New Roman" w:hAnsi="Times New Roman"/>
                <w:b/>
                <w:bCs/>
                <w:sz w:val="24"/>
                <w:szCs w:val="24"/>
              </w:rPr>
              <w:t>База розподілу загальновиробничих витрат</w:t>
            </w:r>
          </w:p>
        </w:tc>
        <w:tc>
          <w:tcPr>
            <w:tcW w:w="1252" w:type="dxa"/>
            <w:noWrap/>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w:t>
            </w:r>
          </w:p>
        </w:tc>
        <w:tc>
          <w:tcPr>
            <w:tcW w:w="1134"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100,00%</w:t>
            </w:r>
          </w:p>
        </w:tc>
        <w:tc>
          <w:tcPr>
            <w:tcW w:w="1319"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96,49%</w:t>
            </w:r>
          </w:p>
        </w:tc>
        <w:tc>
          <w:tcPr>
            <w:tcW w:w="1473"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220"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3,51%</w:t>
            </w:r>
          </w:p>
        </w:tc>
      </w:tr>
      <w:tr w:rsidR="00AA624D" w:rsidRPr="00AA624D" w:rsidTr="00D12FAF">
        <w:trPr>
          <w:trHeight w:val="330"/>
        </w:trPr>
        <w:tc>
          <w:tcPr>
            <w:tcW w:w="3818" w:type="dxa"/>
            <w:vAlign w:val="center"/>
          </w:tcPr>
          <w:p w:rsidR="00AA624D" w:rsidRPr="00AA624D" w:rsidRDefault="00AA624D" w:rsidP="00D12FAF">
            <w:pPr>
              <w:spacing w:after="0" w:line="240" w:lineRule="auto"/>
              <w:rPr>
                <w:rFonts w:ascii="Times New Roman" w:hAnsi="Times New Roman"/>
                <w:b/>
                <w:bCs/>
                <w:sz w:val="24"/>
                <w:szCs w:val="24"/>
              </w:rPr>
            </w:pPr>
            <w:r w:rsidRPr="00AA624D">
              <w:rPr>
                <w:rFonts w:ascii="Times New Roman" w:hAnsi="Times New Roman"/>
                <w:b/>
                <w:bCs/>
                <w:sz w:val="24"/>
                <w:szCs w:val="24"/>
              </w:rPr>
              <w:t>База розподілу адміністративних витрат</w:t>
            </w:r>
          </w:p>
        </w:tc>
        <w:tc>
          <w:tcPr>
            <w:tcW w:w="1252" w:type="dxa"/>
            <w:noWrap/>
            <w:vAlign w:val="center"/>
          </w:tcPr>
          <w:p w:rsidR="00AA624D" w:rsidRPr="00AA624D" w:rsidRDefault="00AA624D" w:rsidP="00D12FAF">
            <w:pPr>
              <w:spacing w:after="0" w:line="240" w:lineRule="auto"/>
              <w:jc w:val="center"/>
              <w:rPr>
                <w:rFonts w:ascii="Times New Roman" w:hAnsi="Times New Roman"/>
                <w:b/>
                <w:bCs/>
                <w:sz w:val="24"/>
                <w:szCs w:val="24"/>
              </w:rPr>
            </w:pPr>
            <w:r w:rsidRPr="00AA624D">
              <w:rPr>
                <w:rFonts w:ascii="Times New Roman" w:hAnsi="Times New Roman"/>
                <w:b/>
                <w:bCs/>
                <w:sz w:val="24"/>
                <w:szCs w:val="24"/>
              </w:rPr>
              <w:t>%</w:t>
            </w:r>
          </w:p>
        </w:tc>
        <w:tc>
          <w:tcPr>
            <w:tcW w:w="1134"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100,00%</w:t>
            </w:r>
          </w:p>
        </w:tc>
        <w:tc>
          <w:tcPr>
            <w:tcW w:w="1319"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96,49%</w:t>
            </w:r>
          </w:p>
        </w:tc>
        <w:tc>
          <w:tcPr>
            <w:tcW w:w="1473"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0,00%</w:t>
            </w:r>
          </w:p>
        </w:tc>
        <w:tc>
          <w:tcPr>
            <w:tcW w:w="1220" w:type="dxa"/>
            <w:noWrap/>
            <w:vAlign w:val="center"/>
          </w:tcPr>
          <w:p w:rsidR="00AA624D" w:rsidRPr="00AA624D" w:rsidRDefault="00AA624D" w:rsidP="00D12FAF">
            <w:pPr>
              <w:jc w:val="right"/>
              <w:rPr>
                <w:rFonts w:ascii="Times New Roman" w:hAnsi="Times New Roman"/>
                <w:b/>
                <w:bCs/>
                <w:sz w:val="24"/>
                <w:szCs w:val="24"/>
              </w:rPr>
            </w:pPr>
            <w:r w:rsidRPr="00AA624D">
              <w:rPr>
                <w:rFonts w:ascii="Times New Roman" w:hAnsi="Times New Roman"/>
                <w:b/>
                <w:bCs/>
                <w:sz w:val="24"/>
                <w:szCs w:val="24"/>
              </w:rPr>
              <w:t>3,51%</w:t>
            </w:r>
          </w:p>
        </w:tc>
      </w:tr>
    </w:tbl>
    <w:p w:rsidR="00AA624D" w:rsidRPr="00AA624D" w:rsidRDefault="00AA624D" w:rsidP="00AA624D">
      <w:pPr>
        <w:spacing w:before="120" w:after="120" w:line="240" w:lineRule="auto"/>
        <w:jc w:val="both"/>
        <w:rPr>
          <w:rStyle w:val="apple-style-span"/>
          <w:rFonts w:ascii="Times New Roman" w:hAnsi="Times New Roman"/>
          <w:color w:val="000000"/>
          <w:sz w:val="24"/>
          <w:szCs w:val="24"/>
          <w:highlight w:val="yellow"/>
        </w:rPr>
      </w:pPr>
    </w:p>
    <w:p w:rsidR="00AA624D" w:rsidRPr="00AA624D" w:rsidRDefault="00AA624D" w:rsidP="00AA624D">
      <w:pPr>
        <w:spacing w:before="120" w:after="120" w:line="240" w:lineRule="auto"/>
        <w:jc w:val="both"/>
        <w:rPr>
          <w:rStyle w:val="apple-style-span"/>
          <w:rFonts w:ascii="Times New Roman" w:hAnsi="Times New Roman"/>
          <w:color w:val="000000"/>
          <w:sz w:val="24"/>
          <w:szCs w:val="24"/>
          <w:highlight w:val="yellow"/>
        </w:rPr>
      </w:pPr>
    </w:p>
    <w:p w:rsidR="00AA624D" w:rsidRPr="00AA624D" w:rsidRDefault="00AA624D" w:rsidP="00AA624D">
      <w:pPr>
        <w:spacing w:before="120" w:after="120" w:line="240" w:lineRule="auto"/>
        <w:ind w:firstLine="709"/>
        <w:jc w:val="both"/>
        <w:rPr>
          <w:rStyle w:val="apple-style-span"/>
          <w:rFonts w:ascii="Times New Roman" w:hAnsi="Times New Roman"/>
          <w:color w:val="000000"/>
          <w:sz w:val="24"/>
          <w:szCs w:val="24"/>
        </w:rPr>
      </w:pPr>
      <w:r w:rsidRPr="00AA624D">
        <w:rPr>
          <w:rStyle w:val="apple-style-span"/>
          <w:rFonts w:ascii="Times New Roman" w:hAnsi="Times New Roman"/>
          <w:color w:val="000000"/>
          <w:sz w:val="24"/>
          <w:szCs w:val="24"/>
        </w:rPr>
        <w:tab/>
      </w:r>
      <w:r w:rsidRPr="00AA624D">
        <w:rPr>
          <w:rStyle w:val="apple-style-span"/>
          <w:rFonts w:ascii="Times New Roman" w:hAnsi="Times New Roman"/>
          <w:color w:val="000000"/>
          <w:sz w:val="24"/>
          <w:szCs w:val="24"/>
        </w:rPr>
        <w:tab/>
      </w:r>
    </w:p>
    <w:p w:rsidR="003A40C3" w:rsidRPr="00AA624D" w:rsidRDefault="003A40C3">
      <w:pPr>
        <w:rPr>
          <w:rFonts w:ascii="Times New Roman" w:hAnsi="Times New Roman"/>
          <w:sz w:val="24"/>
          <w:szCs w:val="24"/>
        </w:rPr>
      </w:pPr>
    </w:p>
    <w:sectPr w:rsidR="003A40C3" w:rsidRPr="00AA624D" w:rsidSect="00AA624D">
      <w:pgSz w:w="11906" w:h="16838"/>
      <w:pgMar w:top="567"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277F"/>
    <w:multiLevelType w:val="hybridMultilevel"/>
    <w:tmpl w:val="B6E864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355434"/>
    <w:multiLevelType w:val="hybridMultilevel"/>
    <w:tmpl w:val="E806F492"/>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nsid w:val="0B7F2A66"/>
    <w:multiLevelType w:val="multilevel"/>
    <w:tmpl w:val="A432C21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33D2D87"/>
    <w:multiLevelType w:val="hybridMultilevel"/>
    <w:tmpl w:val="8446D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303CD6"/>
    <w:multiLevelType w:val="hybridMultilevel"/>
    <w:tmpl w:val="2D50D2B0"/>
    <w:lvl w:ilvl="0" w:tplc="C6D2EE9C">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0EF7D1B"/>
    <w:multiLevelType w:val="hybridMultilevel"/>
    <w:tmpl w:val="9A9E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746F2D"/>
    <w:multiLevelType w:val="hybridMultilevel"/>
    <w:tmpl w:val="92BA8DFC"/>
    <w:lvl w:ilvl="0" w:tplc="32BE0606">
      <w:start w:val="1"/>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
    <w:nsid w:val="34C23A6B"/>
    <w:multiLevelType w:val="hybridMultilevel"/>
    <w:tmpl w:val="3EF844F4"/>
    <w:lvl w:ilvl="0" w:tplc="073ABF7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701668C"/>
    <w:multiLevelType w:val="hybridMultilevel"/>
    <w:tmpl w:val="9B68561C"/>
    <w:lvl w:ilvl="0" w:tplc="073ABF7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A3D67A1"/>
    <w:multiLevelType w:val="hybridMultilevel"/>
    <w:tmpl w:val="CB225B1A"/>
    <w:lvl w:ilvl="0" w:tplc="39A8692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987E45"/>
    <w:multiLevelType w:val="hybridMultilevel"/>
    <w:tmpl w:val="076867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630186D"/>
    <w:multiLevelType w:val="hybridMultilevel"/>
    <w:tmpl w:val="55064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6E4E8A"/>
    <w:multiLevelType w:val="hybridMultilevel"/>
    <w:tmpl w:val="3E349A40"/>
    <w:lvl w:ilvl="0" w:tplc="664C0F60">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13">
    <w:nsid w:val="69ED092A"/>
    <w:multiLevelType w:val="hybridMultilevel"/>
    <w:tmpl w:val="78280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9B12EE"/>
    <w:multiLevelType w:val="hybridMultilevel"/>
    <w:tmpl w:val="870C69E6"/>
    <w:lvl w:ilvl="0" w:tplc="E662FAF0">
      <w:numFmt w:val="bullet"/>
      <w:lvlText w:val="-"/>
      <w:lvlJc w:val="left"/>
      <w:pPr>
        <w:ind w:left="717" w:hanging="360"/>
      </w:pPr>
      <w:rPr>
        <w:rFonts w:ascii="Times New Roman" w:eastAsia="Calibri" w:hAnsi="Times New Roman" w:cs="Times New Roman" w:hint="default"/>
        <w:u w:val="single"/>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8"/>
  </w:num>
  <w:num w:numId="6">
    <w:abstractNumId w:val="7"/>
  </w:num>
  <w:num w:numId="7">
    <w:abstractNumId w:val="4"/>
  </w:num>
  <w:num w:numId="8">
    <w:abstractNumId w:val="14"/>
  </w:num>
  <w:num w:numId="9">
    <w:abstractNumId w:val="2"/>
  </w:num>
  <w:num w:numId="10">
    <w:abstractNumId w:val="9"/>
  </w:num>
  <w:num w:numId="11">
    <w:abstractNumId w:val="13"/>
  </w:num>
  <w:num w:numId="12">
    <w:abstractNumId w:val="6"/>
  </w:num>
  <w:num w:numId="13">
    <w:abstractNumId w:val="12"/>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624D"/>
    <w:rsid w:val="00000CD5"/>
    <w:rsid w:val="000010A2"/>
    <w:rsid w:val="00001CE4"/>
    <w:rsid w:val="00002819"/>
    <w:rsid w:val="00003E7B"/>
    <w:rsid w:val="000048F5"/>
    <w:rsid w:val="00005563"/>
    <w:rsid w:val="000057D8"/>
    <w:rsid w:val="00005832"/>
    <w:rsid w:val="00005F0D"/>
    <w:rsid w:val="000072B3"/>
    <w:rsid w:val="000106A7"/>
    <w:rsid w:val="000106EF"/>
    <w:rsid w:val="00010D45"/>
    <w:rsid w:val="00010D4B"/>
    <w:rsid w:val="00011081"/>
    <w:rsid w:val="00011A3B"/>
    <w:rsid w:val="0001209D"/>
    <w:rsid w:val="00012D5F"/>
    <w:rsid w:val="000139CE"/>
    <w:rsid w:val="00015091"/>
    <w:rsid w:val="00015B07"/>
    <w:rsid w:val="0001680C"/>
    <w:rsid w:val="00016D80"/>
    <w:rsid w:val="00016E67"/>
    <w:rsid w:val="000175A4"/>
    <w:rsid w:val="00017762"/>
    <w:rsid w:val="000201D0"/>
    <w:rsid w:val="000206A6"/>
    <w:rsid w:val="000206C8"/>
    <w:rsid w:val="00020883"/>
    <w:rsid w:val="00021221"/>
    <w:rsid w:val="00021511"/>
    <w:rsid w:val="00022EAE"/>
    <w:rsid w:val="00023DDF"/>
    <w:rsid w:val="00024960"/>
    <w:rsid w:val="00024E8C"/>
    <w:rsid w:val="000268EE"/>
    <w:rsid w:val="00026DAA"/>
    <w:rsid w:val="000277B3"/>
    <w:rsid w:val="00027D37"/>
    <w:rsid w:val="00030D64"/>
    <w:rsid w:val="000312FA"/>
    <w:rsid w:val="00031FE2"/>
    <w:rsid w:val="00031FF7"/>
    <w:rsid w:val="000345B1"/>
    <w:rsid w:val="00034A09"/>
    <w:rsid w:val="00034E49"/>
    <w:rsid w:val="0003635C"/>
    <w:rsid w:val="00036DFC"/>
    <w:rsid w:val="00036E38"/>
    <w:rsid w:val="000371F8"/>
    <w:rsid w:val="000372DB"/>
    <w:rsid w:val="0003758E"/>
    <w:rsid w:val="00037ED8"/>
    <w:rsid w:val="000405B7"/>
    <w:rsid w:val="000419A5"/>
    <w:rsid w:val="00041AEC"/>
    <w:rsid w:val="00042702"/>
    <w:rsid w:val="00042E78"/>
    <w:rsid w:val="00043E16"/>
    <w:rsid w:val="00044312"/>
    <w:rsid w:val="000445B9"/>
    <w:rsid w:val="000455F1"/>
    <w:rsid w:val="0004569A"/>
    <w:rsid w:val="000459E4"/>
    <w:rsid w:val="00045FD2"/>
    <w:rsid w:val="0004700E"/>
    <w:rsid w:val="00047071"/>
    <w:rsid w:val="0005103A"/>
    <w:rsid w:val="00051167"/>
    <w:rsid w:val="000514D4"/>
    <w:rsid w:val="000527A0"/>
    <w:rsid w:val="000527BB"/>
    <w:rsid w:val="00052F9C"/>
    <w:rsid w:val="000530C6"/>
    <w:rsid w:val="000536F0"/>
    <w:rsid w:val="00053AB2"/>
    <w:rsid w:val="0005442E"/>
    <w:rsid w:val="00055384"/>
    <w:rsid w:val="00055660"/>
    <w:rsid w:val="00055BAE"/>
    <w:rsid w:val="00057833"/>
    <w:rsid w:val="00061A93"/>
    <w:rsid w:val="00062396"/>
    <w:rsid w:val="00063749"/>
    <w:rsid w:val="000638C6"/>
    <w:rsid w:val="00063A04"/>
    <w:rsid w:val="00063DAD"/>
    <w:rsid w:val="00065155"/>
    <w:rsid w:val="00065461"/>
    <w:rsid w:val="00066CB2"/>
    <w:rsid w:val="00066FC4"/>
    <w:rsid w:val="00066FD0"/>
    <w:rsid w:val="00067D75"/>
    <w:rsid w:val="00070B39"/>
    <w:rsid w:val="00070F9C"/>
    <w:rsid w:val="00072144"/>
    <w:rsid w:val="0007263F"/>
    <w:rsid w:val="00072685"/>
    <w:rsid w:val="00073549"/>
    <w:rsid w:val="000738E1"/>
    <w:rsid w:val="00073F07"/>
    <w:rsid w:val="000742D3"/>
    <w:rsid w:val="00074836"/>
    <w:rsid w:val="0007634D"/>
    <w:rsid w:val="000763C1"/>
    <w:rsid w:val="000768D3"/>
    <w:rsid w:val="00077F02"/>
    <w:rsid w:val="00080A9B"/>
    <w:rsid w:val="00080BA9"/>
    <w:rsid w:val="00080FB9"/>
    <w:rsid w:val="00081108"/>
    <w:rsid w:val="00082539"/>
    <w:rsid w:val="000827EF"/>
    <w:rsid w:val="000835B5"/>
    <w:rsid w:val="00083B6F"/>
    <w:rsid w:val="00084D04"/>
    <w:rsid w:val="00085115"/>
    <w:rsid w:val="00085C0F"/>
    <w:rsid w:val="00087605"/>
    <w:rsid w:val="00087757"/>
    <w:rsid w:val="000902C9"/>
    <w:rsid w:val="0009040C"/>
    <w:rsid w:val="0009072B"/>
    <w:rsid w:val="00090AEF"/>
    <w:rsid w:val="00091A32"/>
    <w:rsid w:val="00091ACB"/>
    <w:rsid w:val="00092B55"/>
    <w:rsid w:val="00092CE7"/>
    <w:rsid w:val="00094016"/>
    <w:rsid w:val="00094FAA"/>
    <w:rsid w:val="00095271"/>
    <w:rsid w:val="00096446"/>
    <w:rsid w:val="00096488"/>
    <w:rsid w:val="00096948"/>
    <w:rsid w:val="000A0366"/>
    <w:rsid w:val="000A0771"/>
    <w:rsid w:val="000A10CA"/>
    <w:rsid w:val="000A1A00"/>
    <w:rsid w:val="000A1BD2"/>
    <w:rsid w:val="000A1BF1"/>
    <w:rsid w:val="000A21DD"/>
    <w:rsid w:val="000A22C3"/>
    <w:rsid w:val="000A2808"/>
    <w:rsid w:val="000A2B0F"/>
    <w:rsid w:val="000A2E98"/>
    <w:rsid w:val="000A30C7"/>
    <w:rsid w:val="000A3139"/>
    <w:rsid w:val="000A3570"/>
    <w:rsid w:val="000A3865"/>
    <w:rsid w:val="000A3A5A"/>
    <w:rsid w:val="000A3B7E"/>
    <w:rsid w:val="000A4562"/>
    <w:rsid w:val="000A4721"/>
    <w:rsid w:val="000A5B38"/>
    <w:rsid w:val="000A5C49"/>
    <w:rsid w:val="000A5CA9"/>
    <w:rsid w:val="000A6BB9"/>
    <w:rsid w:val="000A7E90"/>
    <w:rsid w:val="000B1419"/>
    <w:rsid w:val="000B3219"/>
    <w:rsid w:val="000B33F9"/>
    <w:rsid w:val="000B380B"/>
    <w:rsid w:val="000B475B"/>
    <w:rsid w:val="000B4EEB"/>
    <w:rsid w:val="000B569D"/>
    <w:rsid w:val="000B6EC6"/>
    <w:rsid w:val="000B732F"/>
    <w:rsid w:val="000C0111"/>
    <w:rsid w:val="000C0414"/>
    <w:rsid w:val="000C1D7C"/>
    <w:rsid w:val="000C294B"/>
    <w:rsid w:val="000C3297"/>
    <w:rsid w:val="000C3332"/>
    <w:rsid w:val="000C340A"/>
    <w:rsid w:val="000C4BC5"/>
    <w:rsid w:val="000C7ECD"/>
    <w:rsid w:val="000D03C0"/>
    <w:rsid w:val="000D03F9"/>
    <w:rsid w:val="000D1171"/>
    <w:rsid w:val="000D173B"/>
    <w:rsid w:val="000D21D3"/>
    <w:rsid w:val="000D2559"/>
    <w:rsid w:val="000D26F0"/>
    <w:rsid w:val="000D3F48"/>
    <w:rsid w:val="000D3F71"/>
    <w:rsid w:val="000D406D"/>
    <w:rsid w:val="000D451E"/>
    <w:rsid w:val="000D47B4"/>
    <w:rsid w:val="000D5239"/>
    <w:rsid w:val="000D6489"/>
    <w:rsid w:val="000D6A28"/>
    <w:rsid w:val="000D6CE0"/>
    <w:rsid w:val="000D7452"/>
    <w:rsid w:val="000D7475"/>
    <w:rsid w:val="000E1654"/>
    <w:rsid w:val="000E1968"/>
    <w:rsid w:val="000E19C0"/>
    <w:rsid w:val="000E1C91"/>
    <w:rsid w:val="000E20AE"/>
    <w:rsid w:val="000E2147"/>
    <w:rsid w:val="000E231F"/>
    <w:rsid w:val="000E27C2"/>
    <w:rsid w:val="000E350F"/>
    <w:rsid w:val="000E39EC"/>
    <w:rsid w:val="000E3F8D"/>
    <w:rsid w:val="000E42D6"/>
    <w:rsid w:val="000E463A"/>
    <w:rsid w:val="000E4777"/>
    <w:rsid w:val="000E4ADB"/>
    <w:rsid w:val="000E4C20"/>
    <w:rsid w:val="000E4C7B"/>
    <w:rsid w:val="000E4D41"/>
    <w:rsid w:val="000E4E9C"/>
    <w:rsid w:val="000E545F"/>
    <w:rsid w:val="000E5948"/>
    <w:rsid w:val="000E5AE7"/>
    <w:rsid w:val="000E634D"/>
    <w:rsid w:val="000E64DE"/>
    <w:rsid w:val="000E67D0"/>
    <w:rsid w:val="000E6AF2"/>
    <w:rsid w:val="000E7F1A"/>
    <w:rsid w:val="000F0587"/>
    <w:rsid w:val="000F0936"/>
    <w:rsid w:val="000F1159"/>
    <w:rsid w:val="000F224C"/>
    <w:rsid w:val="000F2608"/>
    <w:rsid w:val="000F26CF"/>
    <w:rsid w:val="000F2870"/>
    <w:rsid w:val="000F2DA5"/>
    <w:rsid w:val="000F2F4E"/>
    <w:rsid w:val="000F3EC3"/>
    <w:rsid w:val="000F4565"/>
    <w:rsid w:val="000F468A"/>
    <w:rsid w:val="000F4829"/>
    <w:rsid w:val="000F4DEB"/>
    <w:rsid w:val="000F59F1"/>
    <w:rsid w:val="000F5E0F"/>
    <w:rsid w:val="000F6AEC"/>
    <w:rsid w:val="000F6CA0"/>
    <w:rsid w:val="0010120C"/>
    <w:rsid w:val="0010146D"/>
    <w:rsid w:val="00101C8B"/>
    <w:rsid w:val="00102097"/>
    <w:rsid w:val="00102FE5"/>
    <w:rsid w:val="0010343F"/>
    <w:rsid w:val="0010393D"/>
    <w:rsid w:val="0010423D"/>
    <w:rsid w:val="00104FF3"/>
    <w:rsid w:val="00105402"/>
    <w:rsid w:val="001058AD"/>
    <w:rsid w:val="001060AF"/>
    <w:rsid w:val="00106B9E"/>
    <w:rsid w:val="001074E0"/>
    <w:rsid w:val="00107C0E"/>
    <w:rsid w:val="00110080"/>
    <w:rsid w:val="00110508"/>
    <w:rsid w:val="00111688"/>
    <w:rsid w:val="0011188F"/>
    <w:rsid w:val="0011268A"/>
    <w:rsid w:val="001133A3"/>
    <w:rsid w:val="00113728"/>
    <w:rsid w:val="00113C37"/>
    <w:rsid w:val="00114266"/>
    <w:rsid w:val="00114662"/>
    <w:rsid w:val="00114FA3"/>
    <w:rsid w:val="0011581F"/>
    <w:rsid w:val="00115FC2"/>
    <w:rsid w:val="0011612A"/>
    <w:rsid w:val="00116E58"/>
    <w:rsid w:val="00117004"/>
    <w:rsid w:val="00117017"/>
    <w:rsid w:val="00117B2A"/>
    <w:rsid w:val="00117FBD"/>
    <w:rsid w:val="00120AD6"/>
    <w:rsid w:val="00120FCD"/>
    <w:rsid w:val="0012158F"/>
    <w:rsid w:val="00121C14"/>
    <w:rsid w:val="001228EE"/>
    <w:rsid w:val="00122926"/>
    <w:rsid w:val="0012345E"/>
    <w:rsid w:val="00123854"/>
    <w:rsid w:val="00123BB4"/>
    <w:rsid w:val="0012462F"/>
    <w:rsid w:val="00124F9F"/>
    <w:rsid w:val="001255E5"/>
    <w:rsid w:val="00125CBE"/>
    <w:rsid w:val="00126108"/>
    <w:rsid w:val="001261D2"/>
    <w:rsid w:val="001270FD"/>
    <w:rsid w:val="00127DC6"/>
    <w:rsid w:val="001307E8"/>
    <w:rsid w:val="00132270"/>
    <w:rsid w:val="0013296F"/>
    <w:rsid w:val="00133F40"/>
    <w:rsid w:val="001341B2"/>
    <w:rsid w:val="001352E4"/>
    <w:rsid w:val="0013550F"/>
    <w:rsid w:val="0013582C"/>
    <w:rsid w:val="00135A91"/>
    <w:rsid w:val="0013655A"/>
    <w:rsid w:val="00136705"/>
    <w:rsid w:val="00136970"/>
    <w:rsid w:val="00137F39"/>
    <w:rsid w:val="00140D96"/>
    <w:rsid w:val="00140E1B"/>
    <w:rsid w:val="0014106E"/>
    <w:rsid w:val="0014116C"/>
    <w:rsid w:val="001416E9"/>
    <w:rsid w:val="0014320E"/>
    <w:rsid w:val="00143BDF"/>
    <w:rsid w:val="00143D33"/>
    <w:rsid w:val="00144B97"/>
    <w:rsid w:val="001470D1"/>
    <w:rsid w:val="00147A2A"/>
    <w:rsid w:val="00147BB5"/>
    <w:rsid w:val="00150710"/>
    <w:rsid w:val="00150F00"/>
    <w:rsid w:val="001514D1"/>
    <w:rsid w:val="0015157B"/>
    <w:rsid w:val="00151604"/>
    <w:rsid w:val="00151B6A"/>
    <w:rsid w:val="00152184"/>
    <w:rsid w:val="00152894"/>
    <w:rsid w:val="00152A40"/>
    <w:rsid w:val="00152C0F"/>
    <w:rsid w:val="0015334B"/>
    <w:rsid w:val="00153A2E"/>
    <w:rsid w:val="0015419D"/>
    <w:rsid w:val="00154263"/>
    <w:rsid w:val="00154CC0"/>
    <w:rsid w:val="0015521A"/>
    <w:rsid w:val="0015546F"/>
    <w:rsid w:val="001564D5"/>
    <w:rsid w:val="00156C11"/>
    <w:rsid w:val="00160407"/>
    <w:rsid w:val="00160C5E"/>
    <w:rsid w:val="0016206D"/>
    <w:rsid w:val="001624FF"/>
    <w:rsid w:val="001630C8"/>
    <w:rsid w:val="001632ED"/>
    <w:rsid w:val="00163479"/>
    <w:rsid w:val="0016429E"/>
    <w:rsid w:val="0016615D"/>
    <w:rsid w:val="0016619B"/>
    <w:rsid w:val="00166FD6"/>
    <w:rsid w:val="00167B47"/>
    <w:rsid w:val="001711E0"/>
    <w:rsid w:val="00171920"/>
    <w:rsid w:val="00171AB0"/>
    <w:rsid w:val="0017233F"/>
    <w:rsid w:val="00172371"/>
    <w:rsid w:val="00172AE0"/>
    <w:rsid w:val="00172CB4"/>
    <w:rsid w:val="00173240"/>
    <w:rsid w:val="001739D7"/>
    <w:rsid w:val="00173A86"/>
    <w:rsid w:val="0017401F"/>
    <w:rsid w:val="00174216"/>
    <w:rsid w:val="00174669"/>
    <w:rsid w:val="00174F94"/>
    <w:rsid w:val="00175108"/>
    <w:rsid w:val="001751B8"/>
    <w:rsid w:val="0017598D"/>
    <w:rsid w:val="00176664"/>
    <w:rsid w:val="0017769C"/>
    <w:rsid w:val="0018148D"/>
    <w:rsid w:val="00181F19"/>
    <w:rsid w:val="0018392D"/>
    <w:rsid w:val="00183A4C"/>
    <w:rsid w:val="00183DD4"/>
    <w:rsid w:val="0018487C"/>
    <w:rsid w:val="00184DC1"/>
    <w:rsid w:val="00185254"/>
    <w:rsid w:val="00185B46"/>
    <w:rsid w:val="0018781E"/>
    <w:rsid w:val="0018798A"/>
    <w:rsid w:val="00190221"/>
    <w:rsid w:val="001908D6"/>
    <w:rsid w:val="00190A1A"/>
    <w:rsid w:val="00190A41"/>
    <w:rsid w:val="00190B25"/>
    <w:rsid w:val="00190FD4"/>
    <w:rsid w:val="00193F1C"/>
    <w:rsid w:val="00193F32"/>
    <w:rsid w:val="00194110"/>
    <w:rsid w:val="001945A7"/>
    <w:rsid w:val="00195C37"/>
    <w:rsid w:val="00195FC5"/>
    <w:rsid w:val="00196CD8"/>
    <w:rsid w:val="00197DC4"/>
    <w:rsid w:val="001A0E84"/>
    <w:rsid w:val="001A1485"/>
    <w:rsid w:val="001A20EF"/>
    <w:rsid w:val="001A21B1"/>
    <w:rsid w:val="001A2380"/>
    <w:rsid w:val="001A24BC"/>
    <w:rsid w:val="001A293C"/>
    <w:rsid w:val="001A3077"/>
    <w:rsid w:val="001A3374"/>
    <w:rsid w:val="001A400C"/>
    <w:rsid w:val="001A5245"/>
    <w:rsid w:val="001A56D9"/>
    <w:rsid w:val="001A58EB"/>
    <w:rsid w:val="001A5EC5"/>
    <w:rsid w:val="001A6BF9"/>
    <w:rsid w:val="001A6C5C"/>
    <w:rsid w:val="001A7726"/>
    <w:rsid w:val="001B00E3"/>
    <w:rsid w:val="001B0627"/>
    <w:rsid w:val="001B0F78"/>
    <w:rsid w:val="001B1193"/>
    <w:rsid w:val="001B13E8"/>
    <w:rsid w:val="001B17EC"/>
    <w:rsid w:val="001B1D13"/>
    <w:rsid w:val="001B2156"/>
    <w:rsid w:val="001B2937"/>
    <w:rsid w:val="001B3DCE"/>
    <w:rsid w:val="001B444C"/>
    <w:rsid w:val="001B48D1"/>
    <w:rsid w:val="001B4BE6"/>
    <w:rsid w:val="001B4DE4"/>
    <w:rsid w:val="001B5506"/>
    <w:rsid w:val="001B676B"/>
    <w:rsid w:val="001B69EA"/>
    <w:rsid w:val="001B77F5"/>
    <w:rsid w:val="001B7939"/>
    <w:rsid w:val="001C1744"/>
    <w:rsid w:val="001C2AC1"/>
    <w:rsid w:val="001C2DF9"/>
    <w:rsid w:val="001C3F7A"/>
    <w:rsid w:val="001C4AB8"/>
    <w:rsid w:val="001C55F4"/>
    <w:rsid w:val="001C6016"/>
    <w:rsid w:val="001C68E5"/>
    <w:rsid w:val="001C7677"/>
    <w:rsid w:val="001D043B"/>
    <w:rsid w:val="001D2DC7"/>
    <w:rsid w:val="001D3FE2"/>
    <w:rsid w:val="001D5822"/>
    <w:rsid w:val="001D5831"/>
    <w:rsid w:val="001E0731"/>
    <w:rsid w:val="001E1402"/>
    <w:rsid w:val="001E1E97"/>
    <w:rsid w:val="001E288C"/>
    <w:rsid w:val="001E33AF"/>
    <w:rsid w:val="001E343A"/>
    <w:rsid w:val="001E38FB"/>
    <w:rsid w:val="001E3D75"/>
    <w:rsid w:val="001E4A08"/>
    <w:rsid w:val="001E4BB3"/>
    <w:rsid w:val="001E4C81"/>
    <w:rsid w:val="001E72A3"/>
    <w:rsid w:val="001E77DC"/>
    <w:rsid w:val="001F03A6"/>
    <w:rsid w:val="001F0EF7"/>
    <w:rsid w:val="001F1C45"/>
    <w:rsid w:val="001F1E6E"/>
    <w:rsid w:val="001F1F30"/>
    <w:rsid w:val="001F2ABC"/>
    <w:rsid w:val="001F35D3"/>
    <w:rsid w:val="001F3705"/>
    <w:rsid w:val="001F3B56"/>
    <w:rsid w:val="001F3F0D"/>
    <w:rsid w:val="001F5390"/>
    <w:rsid w:val="001F67CF"/>
    <w:rsid w:val="001F7E9B"/>
    <w:rsid w:val="001F7FC9"/>
    <w:rsid w:val="0020188B"/>
    <w:rsid w:val="00201FC1"/>
    <w:rsid w:val="00202BB7"/>
    <w:rsid w:val="002032BD"/>
    <w:rsid w:val="002034B0"/>
    <w:rsid w:val="00203621"/>
    <w:rsid w:val="0020410B"/>
    <w:rsid w:val="002048AB"/>
    <w:rsid w:val="00204999"/>
    <w:rsid w:val="002056BF"/>
    <w:rsid w:val="0020616D"/>
    <w:rsid w:val="002071C8"/>
    <w:rsid w:val="002075F2"/>
    <w:rsid w:val="00207EC0"/>
    <w:rsid w:val="00210795"/>
    <w:rsid w:val="002111FF"/>
    <w:rsid w:val="00212C36"/>
    <w:rsid w:val="00212F44"/>
    <w:rsid w:val="00213065"/>
    <w:rsid w:val="0021306A"/>
    <w:rsid w:val="00216333"/>
    <w:rsid w:val="00220B35"/>
    <w:rsid w:val="0022151B"/>
    <w:rsid w:val="00221B46"/>
    <w:rsid w:val="00223557"/>
    <w:rsid w:val="00223A0C"/>
    <w:rsid w:val="002241C0"/>
    <w:rsid w:val="00224E00"/>
    <w:rsid w:val="00224ED1"/>
    <w:rsid w:val="00226189"/>
    <w:rsid w:val="002279D0"/>
    <w:rsid w:val="00227F6E"/>
    <w:rsid w:val="00230602"/>
    <w:rsid w:val="0023092C"/>
    <w:rsid w:val="00230A2F"/>
    <w:rsid w:val="002312B7"/>
    <w:rsid w:val="002316F6"/>
    <w:rsid w:val="002320DD"/>
    <w:rsid w:val="00232290"/>
    <w:rsid w:val="00235076"/>
    <w:rsid w:val="002353E1"/>
    <w:rsid w:val="00235DA2"/>
    <w:rsid w:val="0023628C"/>
    <w:rsid w:val="00237437"/>
    <w:rsid w:val="00240A00"/>
    <w:rsid w:val="0024248E"/>
    <w:rsid w:val="0024290E"/>
    <w:rsid w:val="00243733"/>
    <w:rsid w:val="0024374A"/>
    <w:rsid w:val="00243C20"/>
    <w:rsid w:val="00244D45"/>
    <w:rsid w:val="00244D75"/>
    <w:rsid w:val="00244D78"/>
    <w:rsid w:val="00245ACB"/>
    <w:rsid w:val="002467DF"/>
    <w:rsid w:val="00246BD4"/>
    <w:rsid w:val="00247220"/>
    <w:rsid w:val="00247ED6"/>
    <w:rsid w:val="00250DEA"/>
    <w:rsid w:val="002521A2"/>
    <w:rsid w:val="00255B9C"/>
    <w:rsid w:val="00255CFB"/>
    <w:rsid w:val="0025636E"/>
    <w:rsid w:val="0025696A"/>
    <w:rsid w:val="00257595"/>
    <w:rsid w:val="0025775D"/>
    <w:rsid w:val="002577EF"/>
    <w:rsid w:val="00257AA6"/>
    <w:rsid w:val="00257E42"/>
    <w:rsid w:val="00260748"/>
    <w:rsid w:val="002612EF"/>
    <w:rsid w:val="00262175"/>
    <w:rsid w:val="00263B68"/>
    <w:rsid w:val="00264663"/>
    <w:rsid w:val="0026506B"/>
    <w:rsid w:val="002650CD"/>
    <w:rsid w:val="002651C4"/>
    <w:rsid w:val="00265DB6"/>
    <w:rsid w:val="00265DBA"/>
    <w:rsid w:val="0026759E"/>
    <w:rsid w:val="0026771D"/>
    <w:rsid w:val="00267C5E"/>
    <w:rsid w:val="00270834"/>
    <w:rsid w:val="00272B14"/>
    <w:rsid w:val="00272B82"/>
    <w:rsid w:val="00272E8A"/>
    <w:rsid w:val="00272F6D"/>
    <w:rsid w:val="0027388D"/>
    <w:rsid w:val="00273C95"/>
    <w:rsid w:val="00273DB1"/>
    <w:rsid w:val="002747E9"/>
    <w:rsid w:val="00274A52"/>
    <w:rsid w:val="00274EEE"/>
    <w:rsid w:val="00276C07"/>
    <w:rsid w:val="0028021E"/>
    <w:rsid w:val="00280BFA"/>
    <w:rsid w:val="00281FC0"/>
    <w:rsid w:val="00281FD3"/>
    <w:rsid w:val="00282242"/>
    <w:rsid w:val="002826EE"/>
    <w:rsid w:val="002831F0"/>
    <w:rsid w:val="00283C22"/>
    <w:rsid w:val="00283F8C"/>
    <w:rsid w:val="0028661B"/>
    <w:rsid w:val="0028710E"/>
    <w:rsid w:val="00287EAF"/>
    <w:rsid w:val="00290586"/>
    <w:rsid w:val="002906B6"/>
    <w:rsid w:val="00290C6B"/>
    <w:rsid w:val="00290F75"/>
    <w:rsid w:val="002915A1"/>
    <w:rsid w:val="00291689"/>
    <w:rsid w:val="0029356E"/>
    <w:rsid w:val="002940B6"/>
    <w:rsid w:val="0029457A"/>
    <w:rsid w:val="002949A4"/>
    <w:rsid w:val="002959DB"/>
    <w:rsid w:val="002962F2"/>
    <w:rsid w:val="002968BC"/>
    <w:rsid w:val="00297ACA"/>
    <w:rsid w:val="00297FFC"/>
    <w:rsid w:val="002A047B"/>
    <w:rsid w:val="002A0759"/>
    <w:rsid w:val="002A07F8"/>
    <w:rsid w:val="002A0A9C"/>
    <w:rsid w:val="002A2DE4"/>
    <w:rsid w:val="002A2F94"/>
    <w:rsid w:val="002A4943"/>
    <w:rsid w:val="002A6207"/>
    <w:rsid w:val="002A63BD"/>
    <w:rsid w:val="002A64B4"/>
    <w:rsid w:val="002A69EA"/>
    <w:rsid w:val="002A7A5A"/>
    <w:rsid w:val="002B03F4"/>
    <w:rsid w:val="002B0417"/>
    <w:rsid w:val="002B0DE8"/>
    <w:rsid w:val="002B1D94"/>
    <w:rsid w:val="002B24B6"/>
    <w:rsid w:val="002B2872"/>
    <w:rsid w:val="002B2E7F"/>
    <w:rsid w:val="002B3E60"/>
    <w:rsid w:val="002B4598"/>
    <w:rsid w:val="002B4C5C"/>
    <w:rsid w:val="002B53BA"/>
    <w:rsid w:val="002B57EE"/>
    <w:rsid w:val="002B6B94"/>
    <w:rsid w:val="002B774C"/>
    <w:rsid w:val="002B7F24"/>
    <w:rsid w:val="002C100B"/>
    <w:rsid w:val="002C1243"/>
    <w:rsid w:val="002C18CB"/>
    <w:rsid w:val="002C1E76"/>
    <w:rsid w:val="002C2047"/>
    <w:rsid w:val="002C2132"/>
    <w:rsid w:val="002C2322"/>
    <w:rsid w:val="002C23CE"/>
    <w:rsid w:val="002C3C45"/>
    <w:rsid w:val="002C485F"/>
    <w:rsid w:val="002C5960"/>
    <w:rsid w:val="002C5F5E"/>
    <w:rsid w:val="002C625A"/>
    <w:rsid w:val="002C645E"/>
    <w:rsid w:val="002C64DF"/>
    <w:rsid w:val="002C6676"/>
    <w:rsid w:val="002C69EE"/>
    <w:rsid w:val="002C6E3D"/>
    <w:rsid w:val="002C78E3"/>
    <w:rsid w:val="002C7AC9"/>
    <w:rsid w:val="002C7ED9"/>
    <w:rsid w:val="002D03C1"/>
    <w:rsid w:val="002D0509"/>
    <w:rsid w:val="002D0CA9"/>
    <w:rsid w:val="002D116E"/>
    <w:rsid w:val="002D1717"/>
    <w:rsid w:val="002D2E05"/>
    <w:rsid w:val="002D39FE"/>
    <w:rsid w:val="002D4CC9"/>
    <w:rsid w:val="002D594A"/>
    <w:rsid w:val="002D5E87"/>
    <w:rsid w:val="002E030C"/>
    <w:rsid w:val="002E0AEB"/>
    <w:rsid w:val="002E11CB"/>
    <w:rsid w:val="002E2489"/>
    <w:rsid w:val="002E24FB"/>
    <w:rsid w:val="002E4AE2"/>
    <w:rsid w:val="002E520B"/>
    <w:rsid w:val="002E6F1F"/>
    <w:rsid w:val="002E77F1"/>
    <w:rsid w:val="002F053C"/>
    <w:rsid w:val="002F0CAA"/>
    <w:rsid w:val="002F0D30"/>
    <w:rsid w:val="002F1485"/>
    <w:rsid w:val="002F180B"/>
    <w:rsid w:val="002F1848"/>
    <w:rsid w:val="002F3794"/>
    <w:rsid w:val="002F3FD0"/>
    <w:rsid w:val="002F4A7C"/>
    <w:rsid w:val="002F4C4C"/>
    <w:rsid w:val="002F50A9"/>
    <w:rsid w:val="002F59F2"/>
    <w:rsid w:val="002F61F1"/>
    <w:rsid w:val="002F6755"/>
    <w:rsid w:val="002F684C"/>
    <w:rsid w:val="002F7405"/>
    <w:rsid w:val="002F79C4"/>
    <w:rsid w:val="002F7E1F"/>
    <w:rsid w:val="00300F13"/>
    <w:rsid w:val="00300F3E"/>
    <w:rsid w:val="00301662"/>
    <w:rsid w:val="0030261F"/>
    <w:rsid w:val="0030463B"/>
    <w:rsid w:val="00304B90"/>
    <w:rsid w:val="00305CCB"/>
    <w:rsid w:val="00306867"/>
    <w:rsid w:val="0030762A"/>
    <w:rsid w:val="00307BF7"/>
    <w:rsid w:val="00310F90"/>
    <w:rsid w:val="00311A27"/>
    <w:rsid w:val="00311BE1"/>
    <w:rsid w:val="00313C88"/>
    <w:rsid w:val="00314B6D"/>
    <w:rsid w:val="00314C69"/>
    <w:rsid w:val="00315092"/>
    <w:rsid w:val="003169C4"/>
    <w:rsid w:val="00316D4C"/>
    <w:rsid w:val="00317D7D"/>
    <w:rsid w:val="00320D6B"/>
    <w:rsid w:val="00320FEF"/>
    <w:rsid w:val="0032191A"/>
    <w:rsid w:val="003226DF"/>
    <w:rsid w:val="00322B8B"/>
    <w:rsid w:val="00323BFC"/>
    <w:rsid w:val="00323DCC"/>
    <w:rsid w:val="00323FFE"/>
    <w:rsid w:val="00324C11"/>
    <w:rsid w:val="003251A9"/>
    <w:rsid w:val="003264DC"/>
    <w:rsid w:val="00330069"/>
    <w:rsid w:val="003308DE"/>
    <w:rsid w:val="003311F3"/>
    <w:rsid w:val="00332819"/>
    <w:rsid w:val="0033296C"/>
    <w:rsid w:val="00332A66"/>
    <w:rsid w:val="003334EF"/>
    <w:rsid w:val="00333C94"/>
    <w:rsid w:val="00334755"/>
    <w:rsid w:val="003349DA"/>
    <w:rsid w:val="003349DF"/>
    <w:rsid w:val="00334AE8"/>
    <w:rsid w:val="00335BF3"/>
    <w:rsid w:val="00336B41"/>
    <w:rsid w:val="00336C54"/>
    <w:rsid w:val="003373A5"/>
    <w:rsid w:val="00337602"/>
    <w:rsid w:val="00337D00"/>
    <w:rsid w:val="003401D2"/>
    <w:rsid w:val="00341980"/>
    <w:rsid w:val="00341BCE"/>
    <w:rsid w:val="00343072"/>
    <w:rsid w:val="00343667"/>
    <w:rsid w:val="0034377F"/>
    <w:rsid w:val="003437B6"/>
    <w:rsid w:val="003437C7"/>
    <w:rsid w:val="00344135"/>
    <w:rsid w:val="0034459A"/>
    <w:rsid w:val="00344973"/>
    <w:rsid w:val="00344ADF"/>
    <w:rsid w:val="00344E67"/>
    <w:rsid w:val="00345767"/>
    <w:rsid w:val="00345EFB"/>
    <w:rsid w:val="0034753E"/>
    <w:rsid w:val="003475F3"/>
    <w:rsid w:val="0035116F"/>
    <w:rsid w:val="00351948"/>
    <w:rsid w:val="00353209"/>
    <w:rsid w:val="00353540"/>
    <w:rsid w:val="00353B91"/>
    <w:rsid w:val="00354636"/>
    <w:rsid w:val="00354C68"/>
    <w:rsid w:val="00354CE7"/>
    <w:rsid w:val="00355D51"/>
    <w:rsid w:val="00356EEB"/>
    <w:rsid w:val="00356F8C"/>
    <w:rsid w:val="003574AF"/>
    <w:rsid w:val="00357577"/>
    <w:rsid w:val="00357590"/>
    <w:rsid w:val="00357715"/>
    <w:rsid w:val="00357878"/>
    <w:rsid w:val="00357C8C"/>
    <w:rsid w:val="003604F6"/>
    <w:rsid w:val="00360784"/>
    <w:rsid w:val="00361069"/>
    <w:rsid w:val="003610D4"/>
    <w:rsid w:val="003617D2"/>
    <w:rsid w:val="00361CF8"/>
    <w:rsid w:val="003631AD"/>
    <w:rsid w:val="003632F3"/>
    <w:rsid w:val="00363440"/>
    <w:rsid w:val="00364722"/>
    <w:rsid w:val="00364D8A"/>
    <w:rsid w:val="00364F90"/>
    <w:rsid w:val="00365B81"/>
    <w:rsid w:val="003660E0"/>
    <w:rsid w:val="00366FF3"/>
    <w:rsid w:val="00367CEB"/>
    <w:rsid w:val="00370D92"/>
    <w:rsid w:val="00371EC8"/>
    <w:rsid w:val="003724EC"/>
    <w:rsid w:val="00372AE7"/>
    <w:rsid w:val="003738D4"/>
    <w:rsid w:val="00373937"/>
    <w:rsid w:val="003756BA"/>
    <w:rsid w:val="00375FA6"/>
    <w:rsid w:val="003764C9"/>
    <w:rsid w:val="00376582"/>
    <w:rsid w:val="00377444"/>
    <w:rsid w:val="0038042A"/>
    <w:rsid w:val="00380538"/>
    <w:rsid w:val="00380B5F"/>
    <w:rsid w:val="00380ED7"/>
    <w:rsid w:val="00381201"/>
    <w:rsid w:val="003825A7"/>
    <w:rsid w:val="003827E6"/>
    <w:rsid w:val="00382F85"/>
    <w:rsid w:val="00383667"/>
    <w:rsid w:val="0038468C"/>
    <w:rsid w:val="00384E32"/>
    <w:rsid w:val="003855F1"/>
    <w:rsid w:val="00386211"/>
    <w:rsid w:val="00386D49"/>
    <w:rsid w:val="00387969"/>
    <w:rsid w:val="00390167"/>
    <w:rsid w:val="00390B65"/>
    <w:rsid w:val="00391216"/>
    <w:rsid w:val="00391E59"/>
    <w:rsid w:val="00392100"/>
    <w:rsid w:val="00392697"/>
    <w:rsid w:val="00393A3A"/>
    <w:rsid w:val="00393FA3"/>
    <w:rsid w:val="003942AF"/>
    <w:rsid w:val="003942DB"/>
    <w:rsid w:val="003945EE"/>
    <w:rsid w:val="00394727"/>
    <w:rsid w:val="00394A84"/>
    <w:rsid w:val="0039600E"/>
    <w:rsid w:val="00396144"/>
    <w:rsid w:val="00396C9B"/>
    <w:rsid w:val="00397782"/>
    <w:rsid w:val="003A0657"/>
    <w:rsid w:val="003A18D1"/>
    <w:rsid w:val="003A3651"/>
    <w:rsid w:val="003A3FA7"/>
    <w:rsid w:val="003A40C3"/>
    <w:rsid w:val="003A49AF"/>
    <w:rsid w:val="003A51B3"/>
    <w:rsid w:val="003A5E9A"/>
    <w:rsid w:val="003A6AF2"/>
    <w:rsid w:val="003A6C3F"/>
    <w:rsid w:val="003B020A"/>
    <w:rsid w:val="003B07AB"/>
    <w:rsid w:val="003B0A89"/>
    <w:rsid w:val="003B0CC6"/>
    <w:rsid w:val="003B3283"/>
    <w:rsid w:val="003B3CAE"/>
    <w:rsid w:val="003B3F9E"/>
    <w:rsid w:val="003B446C"/>
    <w:rsid w:val="003B494A"/>
    <w:rsid w:val="003B4DE9"/>
    <w:rsid w:val="003B61F5"/>
    <w:rsid w:val="003B6752"/>
    <w:rsid w:val="003B727B"/>
    <w:rsid w:val="003B7946"/>
    <w:rsid w:val="003B7D3F"/>
    <w:rsid w:val="003C05A5"/>
    <w:rsid w:val="003C09B6"/>
    <w:rsid w:val="003C17C4"/>
    <w:rsid w:val="003C19FF"/>
    <w:rsid w:val="003C2ABF"/>
    <w:rsid w:val="003C2BF6"/>
    <w:rsid w:val="003C30E3"/>
    <w:rsid w:val="003C385D"/>
    <w:rsid w:val="003C3914"/>
    <w:rsid w:val="003C4DA4"/>
    <w:rsid w:val="003C5296"/>
    <w:rsid w:val="003C52B2"/>
    <w:rsid w:val="003C5709"/>
    <w:rsid w:val="003C5AEB"/>
    <w:rsid w:val="003C6860"/>
    <w:rsid w:val="003C7250"/>
    <w:rsid w:val="003D133F"/>
    <w:rsid w:val="003D1FB7"/>
    <w:rsid w:val="003D238C"/>
    <w:rsid w:val="003D2B10"/>
    <w:rsid w:val="003D2EDB"/>
    <w:rsid w:val="003D3173"/>
    <w:rsid w:val="003D3D1E"/>
    <w:rsid w:val="003D3DB0"/>
    <w:rsid w:val="003D6EF8"/>
    <w:rsid w:val="003D7569"/>
    <w:rsid w:val="003D79CD"/>
    <w:rsid w:val="003D7FF3"/>
    <w:rsid w:val="003E0B26"/>
    <w:rsid w:val="003E0D7F"/>
    <w:rsid w:val="003E0FEA"/>
    <w:rsid w:val="003E1153"/>
    <w:rsid w:val="003E1600"/>
    <w:rsid w:val="003E1763"/>
    <w:rsid w:val="003E2250"/>
    <w:rsid w:val="003E35EE"/>
    <w:rsid w:val="003E385A"/>
    <w:rsid w:val="003E4B94"/>
    <w:rsid w:val="003E4BC9"/>
    <w:rsid w:val="003E5D9F"/>
    <w:rsid w:val="003E5DD0"/>
    <w:rsid w:val="003E6650"/>
    <w:rsid w:val="003E706E"/>
    <w:rsid w:val="003E7B7B"/>
    <w:rsid w:val="003E7D18"/>
    <w:rsid w:val="003F03BB"/>
    <w:rsid w:val="003F04FB"/>
    <w:rsid w:val="003F0D38"/>
    <w:rsid w:val="003F2C31"/>
    <w:rsid w:val="003F3E81"/>
    <w:rsid w:val="003F44ED"/>
    <w:rsid w:val="003F6383"/>
    <w:rsid w:val="003F795D"/>
    <w:rsid w:val="003F7DBD"/>
    <w:rsid w:val="00401C8B"/>
    <w:rsid w:val="0040366B"/>
    <w:rsid w:val="00404279"/>
    <w:rsid w:val="00404739"/>
    <w:rsid w:val="00404A2F"/>
    <w:rsid w:val="00404E12"/>
    <w:rsid w:val="00404E6A"/>
    <w:rsid w:val="004055F6"/>
    <w:rsid w:val="0040594B"/>
    <w:rsid w:val="004059CB"/>
    <w:rsid w:val="00406ECB"/>
    <w:rsid w:val="00407052"/>
    <w:rsid w:val="004073E0"/>
    <w:rsid w:val="00407E75"/>
    <w:rsid w:val="00410619"/>
    <w:rsid w:val="0041067A"/>
    <w:rsid w:val="00410826"/>
    <w:rsid w:val="004110FF"/>
    <w:rsid w:val="00411BF8"/>
    <w:rsid w:val="00412992"/>
    <w:rsid w:val="004135D8"/>
    <w:rsid w:val="0041483A"/>
    <w:rsid w:val="00414C2F"/>
    <w:rsid w:val="00415074"/>
    <w:rsid w:val="004150EC"/>
    <w:rsid w:val="00416328"/>
    <w:rsid w:val="0041692E"/>
    <w:rsid w:val="004209D5"/>
    <w:rsid w:val="00420A44"/>
    <w:rsid w:val="00420C5C"/>
    <w:rsid w:val="00420DF6"/>
    <w:rsid w:val="00420F3D"/>
    <w:rsid w:val="00422602"/>
    <w:rsid w:val="00422816"/>
    <w:rsid w:val="00422E72"/>
    <w:rsid w:val="004234EB"/>
    <w:rsid w:val="00424C9A"/>
    <w:rsid w:val="00425700"/>
    <w:rsid w:val="00426364"/>
    <w:rsid w:val="00426598"/>
    <w:rsid w:val="004270CB"/>
    <w:rsid w:val="00427D99"/>
    <w:rsid w:val="00430937"/>
    <w:rsid w:val="00431882"/>
    <w:rsid w:val="004318AB"/>
    <w:rsid w:val="00431E5F"/>
    <w:rsid w:val="00432914"/>
    <w:rsid w:val="00433254"/>
    <w:rsid w:val="004339B8"/>
    <w:rsid w:val="00433CA1"/>
    <w:rsid w:val="00434926"/>
    <w:rsid w:val="00435278"/>
    <w:rsid w:val="004356E7"/>
    <w:rsid w:val="00435C88"/>
    <w:rsid w:val="0043631C"/>
    <w:rsid w:val="0043677A"/>
    <w:rsid w:val="00436EA9"/>
    <w:rsid w:val="00436F02"/>
    <w:rsid w:val="0043781B"/>
    <w:rsid w:val="00437937"/>
    <w:rsid w:val="00437D77"/>
    <w:rsid w:val="004404D4"/>
    <w:rsid w:val="004407D7"/>
    <w:rsid w:val="00441823"/>
    <w:rsid w:val="004420C1"/>
    <w:rsid w:val="00442321"/>
    <w:rsid w:val="004424BF"/>
    <w:rsid w:val="004430F9"/>
    <w:rsid w:val="0044418E"/>
    <w:rsid w:val="0044446A"/>
    <w:rsid w:val="00444AD1"/>
    <w:rsid w:val="00444F69"/>
    <w:rsid w:val="004463A3"/>
    <w:rsid w:val="0044684B"/>
    <w:rsid w:val="00447417"/>
    <w:rsid w:val="004474FD"/>
    <w:rsid w:val="004476CC"/>
    <w:rsid w:val="004507B1"/>
    <w:rsid w:val="00451E46"/>
    <w:rsid w:val="00452370"/>
    <w:rsid w:val="00452B30"/>
    <w:rsid w:val="0045530D"/>
    <w:rsid w:val="00455D09"/>
    <w:rsid w:val="00455FEE"/>
    <w:rsid w:val="004560E0"/>
    <w:rsid w:val="0045625B"/>
    <w:rsid w:val="00456A3B"/>
    <w:rsid w:val="004579B7"/>
    <w:rsid w:val="00457CDC"/>
    <w:rsid w:val="00461073"/>
    <w:rsid w:val="00461376"/>
    <w:rsid w:val="00461B11"/>
    <w:rsid w:val="004642C4"/>
    <w:rsid w:val="004644D3"/>
    <w:rsid w:val="00464590"/>
    <w:rsid w:val="00464FE8"/>
    <w:rsid w:val="00465600"/>
    <w:rsid w:val="00466852"/>
    <w:rsid w:val="00466C37"/>
    <w:rsid w:val="004706B8"/>
    <w:rsid w:val="00471616"/>
    <w:rsid w:val="0047161C"/>
    <w:rsid w:val="00471D09"/>
    <w:rsid w:val="004735DD"/>
    <w:rsid w:val="004735E8"/>
    <w:rsid w:val="00474A95"/>
    <w:rsid w:val="00475304"/>
    <w:rsid w:val="00476200"/>
    <w:rsid w:val="00476870"/>
    <w:rsid w:val="0047778B"/>
    <w:rsid w:val="00477A9E"/>
    <w:rsid w:val="0048009E"/>
    <w:rsid w:val="00480FE2"/>
    <w:rsid w:val="0048115C"/>
    <w:rsid w:val="004812C7"/>
    <w:rsid w:val="00481815"/>
    <w:rsid w:val="00481B45"/>
    <w:rsid w:val="004827FC"/>
    <w:rsid w:val="0048335E"/>
    <w:rsid w:val="0048347F"/>
    <w:rsid w:val="00483BA5"/>
    <w:rsid w:val="00484021"/>
    <w:rsid w:val="00485236"/>
    <w:rsid w:val="004869FC"/>
    <w:rsid w:val="00486C66"/>
    <w:rsid w:val="00486DF9"/>
    <w:rsid w:val="00490A1B"/>
    <w:rsid w:val="00490BC5"/>
    <w:rsid w:val="00490E9D"/>
    <w:rsid w:val="004910EC"/>
    <w:rsid w:val="00491353"/>
    <w:rsid w:val="00491E3D"/>
    <w:rsid w:val="00492207"/>
    <w:rsid w:val="00492507"/>
    <w:rsid w:val="0049306B"/>
    <w:rsid w:val="004933BC"/>
    <w:rsid w:val="004934CC"/>
    <w:rsid w:val="00493BF1"/>
    <w:rsid w:val="00494322"/>
    <w:rsid w:val="00494D02"/>
    <w:rsid w:val="00495151"/>
    <w:rsid w:val="004959E9"/>
    <w:rsid w:val="004A0C59"/>
    <w:rsid w:val="004A23FC"/>
    <w:rsid w:val="004A24D6"/>
    <w:rsid w:val="004A346F"/>
    <w:rsid w:val="004A34A9"/>
    <w:rsid w:val="004A3989"/>
    <w:rsid w:val="004A3A4D"/>
    <w:rsid w:val="004A3CF8"/>
    <w:rsid w:val="004A44DE"/>
    <w:rsid w:val="004A50DD"/>
    <w:rsid w:val="004A58C7"/>
    <w:rsid w:val="004A5F11"/>
    <w:rsid w:val="004A68D2"/>
    <w:rsid w:val="004B0D15"/>
    <w:rsid w:val="004B19C7"/>
    <w:rsid w:val="004B1C29"/>
    <w:rsid w:val="004B3132"/>
    <w:rsid w:val="004B5035"/>
    <w:rsid w:val="004B5CC1"/>
    <w:rsid w:val="004B657E"/>
    <w:rsid w:val="004B7CC3"/>
    <w:rsid w:val="004C08D4"/>
    <w:rsid w:val="004C0DD2"/>
    <w:rsid w:val="004C1EB6"/>
    <w:rsid w:val="004C28F4"/>
    <w:rsid w:val="004C2F2D"/>
    <w:rsid w:val="004C3836"/>
    <w:rsid w:val="004C3BD2"/>
    <w:rsid w:val="004C41FF"/>
    <w:rsid w:val="004C4498"/>
    <w:rsid w:val="004C493B"/>
    <w:rsid w:val="004C4AEC"/>
    <w:rsid w:val="004C4BDA"/>
    <w:rsid w:val="004C55DC"/>
    <w:rsid w:val="004C5AC5"/>
    <w:rsid w:val="004C5DFF"/>
    <w:rsid w:val="004C6977"/>
    <w:rsid w:val="004C6DFE"/>
    <w:rsid w:val="004C72A4"/>
    <w:rsid w:val="004C7FCF"/>
    <w:rsid w:val="004D12BD"/>
    <w:rsid w:val="004D1E1A"/>
    <w:rsid w:val="004D3707"/>
    <w:rsid w:val="004D49EE"/>
    <w:rsid w:val="004D58BC"/>
    <w:rsid w:val="004D624C"/>
    <w:rsid w:val="004D6805"/>
    <w:rsid w:val="004D68F3"/>
    <w:rsid w:val="004D6C8C"/>
    <w:rsid w:val="004D7742"/>
    <w:rsid w:val="004E0783"/>
    <w:rsid w:val="004E2FA4"/>
    <w:rsid w:val="004E4D9C"/>
    <w:rsid w:val="004E4F9A"/>
    <w:rsid w:val="004E54EF"/>
    <w:rsid w:val="004E5B96"/>
    <w:rsid w:val="004E660A"/>
    <w:rsid w:val="004E662E"/>
    <w:rsid w:val="004E6836"/>
    <w:rsid w:val="004E7F5F"/>
    <w:rsid w:val="004F1575"/>
    <w:rsid w:val="004F182B"/>
    <w:rsid w:val="004F204A"/>
    <w:rsid w:val="004F4613"/>
    <w:rsid w:val="004F4BE2"/>
    <w:rsid w:val="004F50C2"/>
    <w:rsid w:val="004F5242"/>
    <w:rsid w:val="004F56D2"/>
    <w:rsid w:val="004F6DFA"/>
    <w:rsid w:val="004F71A1"/>
    <w:rsid w:val="004F7A00"/>
    <w:rsid w:val="004F7C3E"/>
    <w:rsid w:val="00501A42"/>
    <w:rsid w:val="00502234"/>
    <w:rsid w:val="00502DE2"/>
    <w:rsid w:val="005030FF"/>
    <w:rsid w:val="00503387"/>
    <w:rsid w:val="0050426D"/>
    <w:rsid w:val="005047C8"/>
    <w:rsid w:val="00505890"/>
    <w:rsid w:val="005063DE"/>
    <w:rsid w:val="00506751"/>
    <w:rsid w:val="00506958"/>
    <w:rsid w:val="00506DFB"/>
    <w:rsid w:val="005079A2"/>
    <w:rsid w:val="00507C2F"/>
    <w:rsid w:val="00507DA2"/>
    <w:rsid w:val="00510418"/>
    <w:rsid w:val="00510C53"/>
    <w:rsid w:val="00510EB8"/>
    <w:rsid w:val="00510F2D"/>
    <w:rsid w:val="00511593"/>
    <w:rsid w:val="00511860"/>
    <w:rsid w:val="00511D8E"/>
    <w:rsid w:val="00512B84"/>
    <w:rsid w:val="00514806"/>
    <w:rsid w:val="005149BE"/>
    <w:rsid w:val="005156C6"/>
    <w:rsid w:val="005169AF"/>
    <w:rsid w:val="005172A8"/>
    <w:rsid w:val="0051743C"/>
    <w:rsid w:val="00517711"/>
    <w:rsid w:val="0051778D"/>
    <w:rsid w:val="00520266"/>
    <w:rsid w:val="005206BB"/>
    <w:rsid w:val="00520F2A"/>
    <w:rsid w:val="00521920"/>
    <w:rsid w:val="00522161"/>
    <w:rsid w:val="005229A8"/>
    <w:rsid w:val="005232D3"/>
    <w:rsid w:val="00523E1B"/>
    <w:rsid w:val="00525E67"/>
    <w:rsid w:val="00526433"/>
    <w:rsid w:val="00526445"/>
    <w:rsid w:val="00526C69"/>
    <w:rsid w:val="005272D9"/>
    <w:rsid w:val="00527DCC"/>
    <w:rsid w:val="0053155D"/>
    <w:rsid w:val="00531645"/>
    <w:rsid w:val="00531D0B"/>
    <w:rsid w:val="00531F98"/>
    <w:rsid w:val="0053209B"/>
    <w:rsid w:val="0053247C"/>
    <w:rsid w:val="00533173"/>
    <w:rsid w:val="00534460"/>
    <w:rsid w:val="0053478B"/>
    <w:rsid w:val="00534B99"/>
    <w:rsid w:val="00536776"/>
    <w:rsid w:val="00536B3A"/>
    <w:rsid w:val="00536ECD"/>
    <w:rsid w:val="00537CB7"/>
    <w:rsid w:val="00537EF0"/>
    <w:rsid w:val="00540B07"/>
    <w:rsid w:val="00541E1D"/>
    <w:rsid w:val="00542DBD"/>
    <w:rsid w:val="0054309F"/>
    <w:rsid w:val="005432A8"/>
    <w:rsid w:val="00543F4B"/>
    <w:rsid w:val="00544340"/>
    <w:rsid w:val="00544E9A"/>
    <w:rsid w:val="005452E0"/>
    <w:rsid w:val="0054790B"/>
    <w:rsid w:val="00547A78"/>
    <w:rsid w:val="00551F7E"/>
    <w:rsid w:val="00551FE1"/>
    <w:rsid w:val="00553A1D"/>
    <w:rsid w:val="00554A0C"/>
    <w:rsid w:val="00554CD4"/>
    <w:rsid w:val="00555134"/>
    <w:rsid w:val="00555C12"/>
    <w:rsid w:val="00556221"/>
    <w:rsid w:val="00556A21"/>
    <w:rsid w:val="00556AD6"/>
    <w:rsid w:val="0055740C"/>
    <w:rsid w:val="00557E8B"/>
    <w:rsid w:val="005600F9"/>
    <w:rsid w:val="005603CB"/>
    <w:rsid w:val="0056132F"/>
    <w:rsid w:val="00562024"/>
    <w:rsid w:val="00562BB3"/>
    <w:rsid w:val="0056429D"/>
    <w:rsid w:val="00564CD6"/>
    <w:rsid w:val="00564D3B"/>
    <w:rsid w:val="0056564E"/>
    <w:rsid w:val="00565F45"/>
    <w:rsid w:val="00566867"/>
    <w:rsid w:val="00567708"/>
    <w:rsid w:val="005702B3"/>
    <w:rsid w:val="00571019"/>
    <w:rsid w:val="00571699"/>
    <w:rsid w:val="00571DC3"/>
    <w:rsid w:val="005720F5"/>
    <w:rsid w:val="00574849"/>
    <w:rsid w:val="00575A0B"/>
    <w:rsid w:val="00576E57"/>
    <w:rsid w:val="0057730B"/>
    <w:rsid w:val="0058055A"/>
    <w:rsid w:val="0058124F"/>
    <w:rsid w:val="005815EA"/>
    <w:rsid w:val="005822DC"/>
    <w:rsid w:val="00582618"/>
    <w:rsid w:val="00583686"/>
    <w:rsid w:val="0058382D"/>
    <w:rsid w:val="00584BFE"/>
    <w:rsid w:val="005852E6"/>
    <w:rsid w:val="005860D9"/>
    <w:rsid w:val="00590194"/>
    <w:rsid w:val="0059048A"/>
    <w:rsid w:val="005904A7"/>
    <w:rsid w:val="00592239"/>
    <w:rsid w:val="005927F9"/>
    <w:rsid w:val="00593B71"/>
    <w:rsid w:val="00594118"/>
    <w:rsid w:val="00594968"/>
    <w:rsid w:val="00595242"/>
    <w:rsid w:val="00595A12"/>
    <w:rsid w:val="00595F7E"/>
    <w:rsid w:val="0059644A"/>
    <w:rsid w:val="0059651B"/>
    <w:rsid w:val="00596C69"/>
    <w:rsid w:val="00597C0A"/>
    <w:rsid w:val="00597C48"/>
    <w:rsid w:val="005A04C6"/>
    <w:rsid w:val="005A0716"/>
    <w:rsid w:val="005A08BF"/>
    <w:rsid w:val="005A0ECF"/>
    <w:rsid w:val="005A0FC2"/>
    <w:rsid w:val="005A1400"/>
    <w:rsid w:val="005A1511"/>
    <w:rsid w:val="005A1EDA"/>
    <w:rsid w:val="005A3920"/>
    <w:rsid w:val="005A3C97"/>
    <w:rsid w:val="005A443A"/>
    <w:rsid w:val="005A52BC"/>
    <w:rsid w:val="005A5C3F"/>
    <w:rsid w:val="005A6032"/>
    <w:rsid w:val="005A604E"/>
    <w:rsid w:val="005A6CC0"/>
    <w:rsid w:val="005A6D9E"/>
    <w:rsid w:val="005A7AF3"/>
    <w:rsid w:val="005A7CF1"/>
    <w:rsid w:val="005B0BC3"/>
    <w:rsid w:val="005B118F"/>
    <w:rsid w:val="005B13C5"/>
    <w:rsid w:val="005B1700"/>
    <w:rsid w:val="005B1C27"/>
    <w:rsid w:val="005B1E00"/>
    <w:rsid w:val="005B2C37"/>
    <w:rsid w:val="005B30F6"/>
    <w:rsid w:val="005B34AB"/>
    <w:rsid w:val="005B422B"/>
    <w:rsid w:val="005B4C74"/>
    <w:rsid w:val="005B4C92"/>
    <w:rsid w:val="005B5268"/>
    <w:rsid w:val="005B548B"/>
    <w:rsid w:val="005B6418"/>
    <w:rsid w:val="005B6FB6"/>
    <w:rsid w:val="005B764F"/>
    <w:rsid w:val="005B79CA"/>
    <w:rsid w:val="005C140E"/>
    <w:rsid w:val="005C1A1E"/>
    <w:rsid w:val="005C23F4"/>
    <w:rsid w:val="005C39F2"/>
    <w:rsid w:val="005C3E7F"/>
    <w:rsid w:val="005C4698"/>
    <w:rsid w:val="005C5214"/>
    <w:rsid w:val="005C6165"/>
    <w:rsid w:val="005C65FD"/>
    <w:rsid w:val="005C6F2F"/>
    <w:rsid w:val="005C7C6B"/>
    <w:rsid w:val="005D00D0"/>
    <w:rsid w:val="005D1724"/>
    <w:rsid w:val="005D2B33"/>
    <w:rsid w:val="005D3C82"/>
    <w:rsid w:val="005D49E5"/>
    <w:rsid w:val="005D5741"/>
    <w:rsid w:val="005D5880"/>
    <w:rsid w:val="005D5B4A"/>
    <w:rsid w:val="005D6631"/>
    <w:rsid w:val="005D68AC"/>
    <w:rsid w:val="005D7FC9"/>
    <w:rsid w:val="005E0796"/>
    <w:rsid w:val="005E0BD8"/>
    <w:rsid w:val="005E0E1E"/>
    <w:rsid w:val="005E21F4"/>
    <w:rsid w:val="005E2B3E"/>
    <w:rsid w:val="005E50BA"/>
    <w:rsid w:val="005E5BDE"/>
    <w:rsid w:val="005E60E3"/>
    <w:rsid w:val="005E6B5A"/>
    <w:rsid w:val="005E7B32"/>
    <w:rsid w:val="005F0E01"/>
    <w:rsid w:val="005F1150"/>
    <w:rsid w:val="005F15FF"/>
    <w:rsid w:val="005F16F9"/>
    <w:rsid w:val="005F17F4"/>
    <w:rsid w:val="005F1B23"/>
    <w:rsid w:val="005F34D2"/>
    <w:rsid w:val="005F449F"/>
    <w:rsid w:val="005F4FA6"/>
    <w:rsid w:val="005F52D5"/>
    <w:rsid w:val="005F63B5"/>
    <w:rsid w:val="005F68C8"/>
    <w:rsid w:val="005F6BA5"/>
    <w:rsid w:val="005F6D79"/>
    <w:rsid w:val="005F6DC2"/>
    <w:rsid w:val="005F716E"/>
    <w:rsid w:val="005F7517"/>
    <w:rsid w:val="005F762F"/>
    <w:rsid w:val="006008D7"/>
    <w:rsid w:val="0060132B"/>
    <w:rsid w:val="006014D4"/>
    <w:rsid w:val="00601DA2"/>
    <w:rsid w:val="00602181"/>
    <w:rsid w:val="00602908"/>
    <w:rsid w:val="00602D0A"/>
    <w:rsid w:val="00604362"/>
    <w:rsid w:val="00605798"/>
    <w:rsid w:val="006058F0"/>
    <w:rsid w:val="006059E3"/>
    <w:rsid w:val="00606359"/>
    <w:rsid w:val="006069AA"/>
    <w:rsid w:val="00606A2C"/>
    <w:rsid w:val="00606DAE"/>
    <w:rsid w:val="00607C7E"/>
    <w:rsid w:val="00607CCB"/>
    <w:rsid w:val="00610A99"/>
    <w:rsid w:val="00614649"/>
    <w:rsid w:val="00615151"/>
    <w:rsid w:val="00615F80"/>
    <w:rsid w:val="00616A21"/>
    <w:rsid w:val="00616F0E"/>
    <w:rsid w:val="00620178"/>
    <w:rsid w:val="006201AA"/>
    <w:rsid w:val="00620B1E"/>
    <w:rsid w:val="00620B80"/>
    <w:rsid w:val="00621387"/>
    <w:rsid w:val="00621B7A"/>
    <w:rsid w:val="00622182"/>
    <w:rsid w:val="00622A54"/>
    <w:rsid w:val="006246FC"/>
    <w:rsid w:val="0062497F"/>
    <w:rsid w:val="00625179"/>
    <w:rsid w:val="00625D51"/>
    <w:rsid w:val="00626446"/>
    <w:rsid w:val="00626745"/>
    <w:rsid w:val="00626D21"/>
    <w:rsid w:val="006270AC"/>
    <w:rsid w:val="00627532"/>
    <w:rsid w:val="00627BB3"/>
    <w:rsid w:val="00630D38"/>
    <w:rsid w:val="00631022"/>
    <w:rsid w:val="00631A3E"/>
    <w:rsid w:val="00631DDB"/>
    <w:rsid w:val="006330C1"/>
    <w:rsid w:val="00633449"/>
    <w:rsid w:val="00634E1A"/>
    <w:rsid w:val="00635573"/>
    <w:rsid w:val="006355B4"/>
    <w:rsid w:val="006359BA"/>
    <w:rsid w:val="00635B50"/>
    <w:rsid w:val="00637327"/>
    <w:rsid w:val="00637636"/>
    <w:rsid w:val="006413C4"/>
    <w:rsid w:val="006423BA"/>
    <w:rsid w:val="00642D96"/>
    <w:rsid w:val="00643252"/>
    <w:rsid w:val="006449CF"/>
    <w:rsid w:val="00645C7D"/>
    <w:rsid w:val="0064657C"/>
    <w:rsid w:val="00646633"/>
    <w:rsid w:val="00646F3E"/>
    <w:rsid w:val="0064700B"/>
    <w:rsid w:val="00647828"/>
    <w:rsid w:val="00651598"/>
    <w:rsid w:val="00651B89"/>
    <w:rsid w:val="00651CF6"/>
    <w:rsid w:val="00653188"/>
    <w:rsid w:val="00653627"/>
    <w:rsid w:val="006536FA"/>
    <w:rsid w:val="00653B1E"/>
    <w:rsid w:val="006542F8"/>
    <w:rsid w:val="00654665"/>
    <w:rsid w:val="006549C9"/>
    <w:rsid w:val="00654BF5"/>
    <w:rsid w:val="006552B9"/>
    <w:rsid w:val="00655DD6"/>
    <w:rsid w:val="0065682E"/>
    <w:rsid w:val="006570B2"/>
    <w:rsid w:val="006570B8"/>
    <w:rsid w:val="00660205"/>
    <w:rsid w:val="00660636"/>
    <w:rsid w:val="0066070B"/>
    <w:rsid w:val="00660BB8"/>
    <w:rsid w:val="006636A2"/>
    <w:rsid w:val="00663935"/>
    <w:rsid w:val="0066583B"/>
    <w:rsid w:val="00665B7D"/>
    <w:rsid w:val="00666BF6"/>
    <w:rsid w:val="00666F93"/>
    <w:rsid w:val="00670366"/>
    <w:rsid w:val="00672810"/>
    <w:rsid w:val="00672F6D"/>
    <w:rsid w:val="00673621"/>
    <w:rsid w:val="0067586E"/>
    <w:rsid w:val="0067657C"/>
    <w:rsid w:val="006765E2"/>
    <w:rsid w:val="0067799C"/>
    <w:rsid w:val="00680069"/>
    <w:rsid w:val="00680506"/>
    <w:rsid w:val="00681353"/>
    <w:rsid w:val="006816BF"/>
    <w:rsid w:val="00681FF7"/>
    <w:rsid w:val="00682F0F"/>
    <w:rsid w:val="00683848"/>
    <w:rsid w:val="0068398C"/>
    <w:rsid w:val="00683A1A"/>
    <w:rsid w:val="00683B00"/>
    <w:rsid w:val="006840D7"/>
    <w:rsid w:val="006851AF"/>
    <w:rsid w:val="00686252"/>
    <w:rsid w:val="00686773"/>
    <w:rsid w:val="00686DAE"/>
    <w:rsid w:val="006871A0"/>
    <w:rsid w:val="006872AA"/>
    <w:rsid w:val="00687499"/>
    <w:rsid w:val="00690082"/>
    <w:rsid w:val="0069097B"/>
    <w:rsid w:val="0069127D"/>
    <w:rsid w:val="006912D9"/>
    <w:rsid w:val="0069255B"/>
    <w:rsid w:val="00692854"/>
    <w:rsid w:val="00694457"/>
    <w:rsid w:val="00694EE2"/>
    <w:rsid w:val="00695FB4"/>
    <w:rsid w:val="00696103"/>
    <w:rsid w:val="0069661D"/>
    <w:rsid w:val="00696A62"/>
    <w:rsid w:val="00696F52"/>
    <w:rsid w:val="0069741F"/>
    <w:rsid w:val="00697883"/>
    <w:rsid w:val="006979EB"/>
    <w:rsid w:val="00697D50"/>
    <w:rsid w:val="006A064D"/>
    <w:rsid w:val="006A0A73"/>
    <w:rsid w:val="006A0BFC"/>
    <w:rsid w:val="006A2889"/>
    <w:rsid w:val="006A29AE"/>
    <w:rsid w:val="006A2A86"/>
    <w:rsid w:val="006A311C"/>
    <w:rsid w:val="006A34B4"/>
    <w:rsid w:val="006A43B0"/>
    <w:rsid w:val="006A5860"/>
    <w:rsid w:val="006A6249"/>
    <w:rsid w:val="006A7680"/>
    <w:rsid w:val="006A7AAB"/>
    <w:rsid w:val="006A7D9E"/>
    <w:rsid w:val="006B004B"/>
    <w:rsid w:val="006B0560"/>
    <w:rsid w:val="006B1FB1"/>
    <w:rsid w:val="006B2088"/>
    <w:rsid w:val="006B25EF"/>
    <w:rsid w:val="006B2B8B"/>
    <w:rsid w:val="006B3153"/>
    <w:rsid w:val="006B3723"/>
    <w:rsid w:val="006B3888"/>
    <w:rsid w:val="006B42ED"/>
    <w:rsid w:val="006B5E56"/>
    <w:rsid w:val="006B5E74"/>
    <w:rsid w:val="006B687A"/>
    <w:rsid w:val="006B7861"/>
    <w:rsid w:val="006C089B"/>
    <w:rsid w:val="006C0D29"/>
    <w:rsid w:val="006C1518"/>
    <w:rsid w:val="006C44BC"/>
    <w:rsid w:val="006C6655"/>
    <w:rsid w:val="006C7CEE"/>
    <w:rsid w:val="006D087F"/>
    <w:rsid w:val="006D2C77"/>
    <w:rsid w:val="006D54FB"/>
    <w:rsid w:val="006D5889"/>
    <w:rsid w:val="006D5891"/>
    <w:rsid w:val="006D5AD3"/>
    <w:rsid w:val="006D6D18"/>
    <w:rsid w:val="006D74E0"/>
    <w:rsid w:val="006D758A"/>
    <w:rsid w:val="006D7646"/>
    <w:rsid w:val="006D7C0B"/>
    <w:rsid w:val="006E1F3D"/>
    <w:rsid w:val="006E35CE"/>
    <w:rsid w:val="006E4462"/>
    <w:rsid w:val="006E50D4"/>
    <w:rsid w:val="006E5738"/>
    <w:rsid w:val="006E577D"/>
    <w:rsid w:val="006E654E"/>
    <w:rsid w:val="006E6D39"/>
    <w:rsid w:val="006E6D5F"/>
    <w:rsid w:val="006E6F32"/>
    <w:rsid w:val="006E7B7A"/>
    <w:rsid w:val="006F0044"/>
    <w:rsid w:val="006F044C"/>
    <w:rsid w:val="006F2A78"/>
    <w:rsid w:val="006F2B3E"/>
    <w:rsid w:val="006F2FA4"/>
    <w:rsid w:val="006F3645"/>
    <w:rsid w:val="006F37CE"/>
    <w:rsid w:val="006F453F"/>
    <w:rsid w:val="006F45D6"/>
    <w:rsid w:val="006F51ED"/>
    <w:rsid w:val="006F5265"/>
    <w:rsid w:val="006F58EF"/>
    <w:rsid w:val="006F5AC6"/>
    <w:rsid w:val="006F6360"/>
    <w:rsid w:val="006F6AF3"/>
    <w:rsid w:val="00700144"/>
    <w:rsid w:val="00701750"/>
    <w:rsid w:val="00701B70"/>
    <w:rsid w:val="00701EEB"/>
    <w:rsid w:val="007022B1"/>
    <w:rsid w:val="00702A36"/>
    <w:rsid w:val="007033BF"/>
    <w:rsid w:val="0070348D"/>
    <w:rsid w:val="007034F6"/>
    <w:rsid w:val="00703522"/>
    <w:rsid w:val="00705A57"/>
    <w:rsid w:val="00705D77"/>
    <w:rsid w:val="00706D91"/>
    <w:rsid w:val="00707B5C"/>
    <w:rsid w:val="00710448"/>
    <w:rsid w:val="00710460"/>
    <w:rsid w:val="00710DA5"/>
    <w:rsid w:val="00711512"/>
    <w:rsid w:val="00712072"/>
    <w:rsid w:val="00712427"/>
    <w:rsid w:val="007124FB"/>
    <w:rsid w:val="00712BEA"/>
    <w:rsid w:val="00714241"/>
    <w:rsid w:val="007151D7"/>
    <w:rsid w:val="00715829"/>
    <w:rsid w:val="00715B66"/>
    <w:rsid w:val="00715E5D"/>
    <w:rsid w:val="00716063"/>
    <w:rsid w:val="0071609C"/>
    <w:rsid w:val="00716472"/>
    <w:rsid w:val="007169FA"/>
    <w:rsid w:val="00717E17"/>
    <w:rsid w:val="007215C7"/>
    <w:rsid w:val="0072245A"/>
    <w:rsid w:val="00722490"/>
    <w:rsid w:val="00722831"/>
    <w:rsid w:val="00722A3F"/>
    <w:rsid w:val="00723667"/>
    <w:rsid w:val="007239E2"/>
    <w:rsid w:val="00724116"/>
    <w:rsid w:val="00724C63"/>
    <w:rsid w:val="00726604"/>
    <w:rsid w:val="00726628"/>
    <w:rsid w:val="00727171"/>
    <w:rsid w:val="00727997"/>
    <w:rsid w:val="00727A26"/>
    <w:rsid w:val="007311C0"/>
    <w:rsid w:val="007312F4"/>
    <w:rsid w:val="00731DA7"/>
    <w:rsid w:val="0073362F"/>
    <w:rsid w:val="00733861"/>
    <w:rsid w:val="007347F3"/>
    <w:rsid w:val="00735184"/>
    <w:rsid w:val="00735493"/>
    <w:rsid w:val="0073571E"/>
    <w:rsid w:val="00735B4C"/>
    <w:rsid w:val="00737431"/>
    <w:rsid w:val="007375BE"/>
    <w:rsid w:val="00737D10"/>
    <w:rsid w:val="00741C2C"/>
    <w:rsid w:val="007424DC"/>
    <w:rsid w:val="00742936"/>
    <w:rsid w:val="00742C26"/>
    <w:rsid w:val="00742E03"/>
    <w:rsid w:val="00742EE9"/>
    <w:rsid w:val="00742FF0"/>
    <w:rsid w:val="00743A43"/>
    <w:rsid w:val="007454AB"/>
    <w:rsid w:val="0074589C"/>
    <w:rsid w:val="0074596C"/>
    <w:rsid w:val="00747430"/>
    <w:rsid w:val="00747458"/>
    <w:rsid w:val="007475B3"/>
    <w:rsid w:val="0074796C"/>
    <w:rsid w:val="0075029F"/>
    <w:rsid w:val="007502E8"/>
    <w:rsid w:val="007507C5"/>
    <w:rsid w:val="007507D6"/>
    <w:rsid w:val="00750CCB"/>
    <w:rsid w:val="00750CDC"/>
    <w:rsid w:val="007535EE"/>
    <w:rsid w:val="007542E7"/>
    <w:rsid w:val="0075473F"/>
    <w:rsid w:val="00754A43"/>
    <w:rsid w:val="00756584"/>
    <w:rsid w:val="0075676B"/>
    <w:rsid w:val="007609F0"/>
    <w:rsid w:val="00761C51"/>
    <w:rsid w:val="00762C8D"/>
    <w:rsid w:val="00763946"/>
    <w:rsid w:val="00763D1F"/>
    <w:rsid w:val="0076424E"/>
    <w:rsid w:val="00764ED4"/>
    <w:rsid w:val="007654D8"/>
    <w:rsid w:val="00765950"/>
    <w:rsid w:val="00765B32"/>
    <w:rsid w:val="00765EA2"/>
    <w:rsid w:val="007664CB"/>
    <w:rsid w:val="00767A26"/>
    <w:rsid w:val="00771270"/>
    <w:rsid w:val="0077474F"/>
    <w:rsid w:val="00775A0C"/>
    <w:rsid w:val="00776584"/>
    <w:rsid w:val="00776794"/>
    <w:rsid w:val="00776FC9"/>
    <w:rsid w:val="007776FF"/>
    <w:rsid w:val="0078012D"/>
    <w:rsid w:val="00781090"/>
    <w:rsid w:val="007815AF"/>
    <w:rsid w:val="00782B6E"/>
    <w:rsid w:val="00782F8E"/>
    <w:rsid w:val="007840A1"/>
    <w:rsid w:val="00784A3D"/>
    <w:rsid w:val="00784BFD"/>
    <w:rsid w:val="00785C02"/>
    <w:rsid w:val="00785E0F"/>
    <w:rsid w:val="00785F42"/>
    <w:rsid w:val="00786AB3"/>
    <w:rsid w:val="007905E3"/>
    <w:rsid w:val="00791043"/>
    <w:rsid w:val="007918DC"/>
    <w:rsid w:val="007936E1"/>
    <w:rsid w:val="00793B32"/>
    <w:rsid w:val="0079538E"/>
    <w:rsid w:val="00795D40"/>
    <w:rsid w:val="00795E26"/>
    <w:rsid w:val="00797C2C"/>
    <w:rsid w:val="007A0008"/>
    <w:rsid w:val="007A032C"/>
    <w:rsid w:val="007A0983"/>
    <w:rsid w:val="007A124F"/>
    <w:rsid w:val="007A13D3"/>
    <w:rsid w:val="007A1706"/>
    <w:rsid w:val="007A1F18"/>
    <w:rsid w:val="007A22BB"/>
    <w:rsid w:val="007A2968"/>
    <w:rsid w:val="007A3051"/>
    <w:rsid w:val="007A3E38"/>
    <w:rsid w:val="007A45EB"/>
    <w:rsid w:val="007A4846"/>
    <w:rsid w:val="007A4BFA"/>
    <w:rsid w:val="007A4E44"/>
    <w:rsid w:val="007A4E73"/>
    <w:rsid w:val="007A5B24"/>
    <w:rsid w:val="007A6C30"/>
    <w:rsid w:val="007A759F"/>
    <w:rsid w:val="007A79E6"/>
    <w:rsid w:val="007B001F"/>
    <w:rsid w:val="007B039B"/>
    <w:rsid w:val="007B0551"/>
    <w:rsid w:val="007B05BD"/>
    <w:rsid w:val="007B0BC5"/>
    <w:rsid w:val="007B0D11"/>
    <w:rsid w:val="007B1687"/>
    <w:rsid w:val="007B187A"/>
    <w:rsid w:val="007B244A"/>
    <w:rsid w:val="007B2AB8"/>
    <w:rsid w:val="007B2F3A"/>
    <w:rsid w:val="007B38DC"/>
    <w:rsid w:val="007B3B4F"/>
    <w:rsid w:val="007B4E1D"/>
    <w:rsid w:val="007B4EDA"/>
    <w:rsid w:val="007B534D"/>
    <w:rsid w:val="007B6FA2"/>
    <w:rsid w:val="007B75E6"/>
    <w:rsid w:val="007C01EE"/>
    <w:rsid w:val="007C0A81"/>
    <w:rsid w:val="007C1AE7"/>
    <w:rsid w:val="007C24CB"/>
    <w:rsid w:val="007C307F"/>
    <w:rsid w:val="007C36B0"/>
    <w:rsid w:val="007C4B4F"/>
    <w:rsid w:val="007C4D26"/>
    <w:rsid w:val="007C5B88"/>
    <w:rsid w:val="007C5F5A"/>
    <w:rsid w:val="007C6637"/>
    <w:rsid w:val="007C7808"/>
    <w:rsid w:val="007C7B24"/>
    <w:rsid w:val="007D05DE"/>
    <w:rsid w:val="007D1424"/>
    <w:rsid w:val="007D2AB4"/>
    <w:rsid w:val="007D429B"/>
    <w:rsid w:val="007D471F"/>
    <w:rsid w:val="007D4BDE"/>
    <w:rsid w:val="007D4DB7"/>
    <w:rsid w:val="007D51E8"/>
    <w:rsid w:val="007D5211"/>
    <w:rsid w:val="007D7B0D"/>
    <w:rsid w:val="007E0457"/>
    <w:rsid w:val="007E0982"/>
    <w:rsid w:val="007E1E17"/>
    <w:rsid w:val="007E20EE"/>
    <w:rsid w:val="007E2266"/>
    <w:rsid w:val="007E2845"/>
    <w:rsid w:val="007E3228"/>
    <w:rsid w:val="007E3523"/>
    <w:rsid w:val="007E3755"/>
    <w:rsid w:val="007E55AD"/>
    <w:rsid w:val="007E5746"/>
    <w:rsid w:val="007E609C"/>
    <w:rsid w:val="007E62CD"/>
    <w:rsid w:val="007E68D4"/>
    <w:rsid w:val="007E6C6F"/>
    <w:rsid w:val="007E7539"/>
    <w:rsid w:val="007E7BAE"/>
    <w:rsid w:val="007F0225"/>
    <w:rsid w:val="007F0B97"/>
    <w:rsid w:val="007F1371"/>
    <w:rsid w:val="007F1384"/>
    <w:rsid w:val="007F1AFF"/>
    <w:rsid w:val="007F258E"/>
    <w:rsid w:val="007F3262"/>
    <w:rsid w:val="007F42A0"/>
    <w:rsid w:val="007F498A"/>
    <w:rsid w:val="007F4B65"/>
    <w:rsid w:val="007F6F3A"/>
    <w:rsid w:val="007F70B9"/>
    <w:rsid w:val="007F7DD6"/>
    <w:rsid w:val="00800ED1"/>
    <w:rsid w:val="00801428"/>
    <w:rsid w:val="008028E1"/>
    <w:rsid w:val="00804741"/>
    <w:rsid w:val="00804872"/>
    <w:rsid w:val="00804F99"/>
    <w:rsid w:val="00805D3B"/>
    <w:rsid w:val="0080687C"/>
    <w:rsid w:val="00807449"/>
    <w:rsid w:val="00810A20"/>
    <w:rsid w:val="008112C4"/>
    <w:rsid w:val="00811389"/>
    <w:rsid w:val="008117E6"/>
    <w:rsid w:val="00813957"/>
    <w:rsid w:val="00813BCB"/>
    <w:rsid w:val="00814F7A"/>
    <w:rsid w:val="008158DF"/>
    <w:rsid w:val="00816257"/>
    <w:rsid w:val="00816697"/>
    <w:rsid w:val="00816965"/>
    <w:rsid w:val="00817662"/>
    <w:rsid w:val="00817707"/>
    <w:rsid w:val="00817B3A"/>
    <w:rsid w:val="00817EC1"/>
    <w:rsid w:val="00820331"/>
    <w:rsid w:val="00820977"/>
    <w:rsid w:val="00820DDE"/>
    <w:rsid w:val="00820EA6"/>
    <w:rsid w:val="00820FB9"/>
    <w:rsid w:val="0082278A"/>
    <w:rsid w:val="008233FD"/>
    <w:rsid w:val="00825E10"/>
    <w:rsid w:val="0082657B"/>
    <w:rsid w:val="00826FCB"/>
    <w:rsid w:val="00827A31"/>
    <w:rsid w:val="008300D6"/>
    <w:rsid w:val="00831898"/>
    <w:rsid w:val="00831B87"/>
    <w:rsid w:val="008321B8"/>
    <w:rsid w:val="00833334"/>
    <w:rsid w:val="008335C7"/>
    <w:rsid w:val="00833701"/>
    <w:rsid w:val="00833D35"/>
    <w:rsid w:val="00835352"/>
    <w:rsid w:val="00835834"/>
    <w:rsid w:val="00836229"/>
    <w:rsid w:val="00836F9A"/>
    <w:rsid w:val="00837AA4"/>
    <w:rsid w:val="00837E08"/>
    <w:rsid w:val="00841299"/>
    <w:rsid w:val="008415AF"/>
    <w:rsid w:val="00841FDE"/>
    <w:rsid w:val="00842F4D"/>
    <w:rsid w:val="00843D92"/>
    <w:rsid w:val="00844EF4"/>
    <w:rsid w:val="00845681"/>
    <w:rsid w:val="008460D1"/>
    <w:rsid w:val="00846D11"/>
    <w:rsid w:val="00850279"/>
    <w:rsid w:val="00850E58"/>
    <w:rsid w:val="0085190B"/>
    <w:rsid w:val="00851B1C"/>
    <w:rsid w:val="0085378C"/>
    <w:rsid w:val="00853D9C"/>
    <w:rsid w:val="00854083"/>
    <w:rsid w:val="00855779"/>
    <w:rsid w:val="00855C38"/>
    <w:rsid w:val="00856A3A"/>
    <w:rsid w:val="00856DD1"/>
    <w:rsid w:val="00857151"/>
    <w:rsid w:val="00857C04"/>
    <w:rsid w:val="00861CDE"/>
    <w:rsid w:val="00863875"/>
    <w:rsid w:val="00863F28"/>
    <w:rsid w:val="00864395"/>
    <w:rsid w:val="0086517D"/>
    <w:rsid w:val="008657FB"/>
    <w:rsid w:val="008660DA"/>
    <w:rsid w:val="008664DC"/>
    <w:rsid w:val="008703B3"/>
    <w:rsid w:val="00870853"/>
    <w:rsid w:val="00871D98"/>
    <w:rsid w:val="00872411"/>
    <w:rsid w:val="00872547"/>
    <w:rsid w:val="008727E4"/>
    <w:rsid w:val="00872C76"/>
    <w:rsid w:val="00873D52"/>
    <w:rsid w:val="00873F98"/>
    <w:rsid w:val="008748F2"/>
    <w:rsid w:val="00875506"/>
    <w:rsid w:val="00876485"/>
    <w:rsid w:val="00876605"/>
    <w:rsid w:val="00877657"/>
    <w:rsid w:val="00881256"/>
    <w:rsid w:val="00881F72"/>
    <w:rsid w:val="00882E56"/>
    <w:rsid w:val="00882F76"/>
    <w:rsid w:val="00885274"/>
    <w:rsid w:val="0088567E"/>
    <w:rsid w:val="00886374"/>
    <w:rsid w:val="00886410"/>
    <w:rsid w:val="00887427"/>
    <w:rsid w:val="0088750E"/>
    <w:rsid w:val="008878DD"/>
    <w:rsid w:val="008902CE"/>
    <w:rsid w:val="0089099E"/>
    <w:rsid w:val="0089114E"/>
    <w:rsid w:val="00891DB1"/>
    <w:rsid w:val="00891FC7"/>
    <w:rsid w:val="008938C3"/>
    <w:rsid w:val="0089457F"/>
    <w:rsid w:val="0089483B"/>
    <w:rsid w:val="00895371"/>
    <w:rsid w:val="00895AD1"/>
    <w:rsid w:val="008969E6"/>
    <w:rsid w:val="00896C99"/>
    <w:rsid w:val="008A0179"/>
    <w:rsid w:val="008A058F"/>
    <w:rsid w:val="008A0FE1"/>
    <w:rsid w:val="008A1562"/>
    <w:rsid w:val="008A264F"/>
    <w:rsid w:val="008A2653"/>
    <w:rsid w:val="008A2A97"/>
    <w:rsid w:val="008A318F"/>
    <w:rsid w:val="008A3715"/>
    <w:rsid w:val="008A3831"/>
    <w:rsid w:val="008A425E"/>
    <w:rsid w:val="008A4C38"/>
    <w:rsid w:val="008A4C9D"/>
    <w:rsid w:val="008A565F"/>
    <w:rsid w:val="008A58D6"/>
    <w:rsid w:val="008B0C25"/>
    <w:rsid w:val="008B0FF4"/>
    <w:rsid w:val="008B1129"/>
    <w:rsid w:val="008B146C"/>
    <w:rsid w:val="008B1EC9"/>
    <w:rsid w:val="008B20BC"/>
    <w:rsid w:val="008B360F"/>
    <w:rsid w:val="008B3FE7"/>
    <w:rsid w:val="008B4D2E"/>
    <w:rsid w:val="008B5F07"/>
    <w:rsid w:val="008B68FC"/>
    <w:rsid w:val="008B79CB"/>
    <w:rsid w:val="008C021C"/>
    <w:rsid w:val="008C1C7D"/>
    <w:rsid w:val="008C1E89"/>
    <w:rsid w:val="008C2790"/>
    <w:rsid w:val="008C2D19"/>
    <w:rsid w:val="008C3046"/>
    <w:rsid w:val="008C3250"/>
    <w:rsid w:val="008C3591"/>
    <w:rsid w:val="008C386F"/>
    <w:rsid w:val="008C4E30"/>
    <w:rsid w:val="008C55D6"/>
    <w:rsid w:val="008C5695"/>
    <w:rsid w:val="008C6CD0"/>
    <w:rsid w:val="008C75D3"/>
    <w:rsid w:val="008D01CE"/>
    <w:rsid w:val="008D0591"/>
    <w:rsid w:val="008D0FB9"/>
    <w:rsid w:val="008D1AD5"/>
    <w:rsid w:val="008D1E44"/>
    <w:rsid w:val="008D1E7B"/>
    <w:rsid w:val="008D1F4A"/>
    <w:rsid w:val="008D1FC4"/>
    <w:rsid w:val="008D2072"/>
    <w:rsid w:val="008D3C34"/>
    <w:rsid w:val="008D3C3F"/>
    <w:rsid w:val="008D41FF"/>
    <w:rsid w:val="008D48A4"/>
    <w:rsid w:val="008D4DC1"/>
    <w:rsid w:val="008D504F"/>
    <w:rsid w:val="008D56FB"/>
    <w:rsid w:val="008D7420"/>
    <w:rsid w:val="008D77DD"/>
    <w:rsid w:val="008D783E"/>
    <w:rsid w:val="008D7DFB"/>
    <w:rsid w:val="008E05DE"/>
    <w:rsid w:val="008E18A8"/>
    <w:rsid w:val="008E20A9"/>
    <w:rsid w:val="008E28A8"/>
    <w:rsid w:val="008E2CED"/>
    <w:rsid w:val="008E3370"/>
    <w:rsid w:val="008E3412"/>
    <w:rsid w:val="008E4352"/>
    <w:rsid w:val="008E5107"/>
    <w:rsid w:val="008E59C2"/>
    <w:rsid w:val="008E5B98"/>
    <w:rsid w:val="008E6BD0"/>
    <w:rsid w:val="008E6F19"/>
    <w:rsid w:val="008E7B62"/>
    <w:rsid w:val="008F18AC"/>
    <w:rsid w:val="008F3591"/>
    <w:rsid w:val="008F36C8"/>
    <w:rsid w:val="008F584F"/>
    <w:rsid w:val="008F5ED0"/>
    <w:rsid w:val="008F63ED"/>
    <w:rsid w:val="008F657E"/>
    <w:rsid w:val="008F67DB"/>
    <w:rsid w:val="008F774A"/>
    <w:rsid w:val="008F7908"/>
    <w:rsid w:val="008F7AE0"/>
    <w:rsid w:val="0090058E"/>
    <w:rsid w:val="009009DB"/>
    <w:rsid w:val="00901578"/>
    <w:rsid w:val="009023F9"/>
    <w:rsid w:val="009025B1"/>
    <w:rsid w:val="009029DD"/>
    <w:rsid w:val="00902DE3"/>
    <w:rsid w:val="009037DB"/>
    <w:rsid w:val="0090394E"/>
    <w:rsid w:val="009041DE"/>
    <w:rsid w:val="00904D72"/>
    <w:rsid w:val="00904F06"/>
    <w:rsid w:val="00905789"/>
    <w:rsid w:val="00906C47"/>
    <w:rsid w:val="009073DA"/>
    <w:rsid w:val="009075D8"/>
    <w:rsid w:val="009100A8"/>
    <w:rsid w:val="00910C4E"/>
    <w:rsid w:val="009116E9"/>
    <w:rsid w:val="0091250C"/>
    <w:rsid w:val="0091269A"/>
    <w:rsid w:val="00913B96"/>
    <w:rsid w:val="009149C5"/>
    <w:rsid w:val="009153B2"/>
    <w:rsid w:val="0091549C"/>
    <w:rsid w:val="00916623"/>
    <w:rsid w:val="00916CED"/>
    <w:rsid w:val="00920345"/>
    <w:rsid w:val="0092130B"/>
    <w:rsid w:val="00921638"/>
    <w:rsid w:val="009217F8"/>
    <w:rsid w:val="00921B19"/>
    <w:rsid w:val="0092294E"/>
    <w:rsid w:val="00923E6A"/>
    <w:rsid w:val="0092453F"/>
    <w:rsid w:val="009258C8"/>
    <w:rsid w:val="00925918"/>
    <w:rsid w:val="00925949"/>
    <w:rsid w:val="00926724"/>
    <w:rsid w:val="00926B3C"/>
    <w:rsid w:val="00927913"/>
    <w:rsid w:val="009307C1"/>
    <w:rsid w:val="00930BC7"/>
    <w:rsid w:val="00930CA5"/>
    <w:rsid w:val="00930F62"/>
    <w:rsid w:val="00931F6D"/>
    <w:rsid w:val="009320FE"/>
    <w:rsid w:val="00932BA4"/>
    <w:rsid w:val="009331A0"/>
    <w:rsid w:val="009333B3"/>
    <w:rsid w:val="00933457"/>
    <w:rsid w:val="00933C9D"/>
    <w:rsid w:val="00934A33"/>
    <w:rsid w:val="00934F48"/>
    <w:rsid w:val="00935200"/>
    <w:rsid w:val="009353E1"/>
    <w:rsid w:val="009361FF"/>
    <w:rsid w:val="00936250"/>
    <w:rsid w:val="009362B8"/>
    <w:rsid w:val="00936F03"/>
    <w:rsid w:val="00936F31"/>
    <w:rsid w:val="00937966"/>
    <w:rsid w:val="0094028D"/>
    <w:rsid w:val="00940F1B"/>
    <w:rsid w:val="00941138"/>
    <w:rsid w:val="00941A07"/>
    <w:rsid w:val="00941AB0"/>
    <w:rsid w:val="009429EF"/>
    <w:rsid w:val="00943364"/>
    <w:rsid w:val="00943E3F"/>
    <w:rsid w:val="0094408B"/>
    <w:rsid w:val="0094482D"/>
    <w:rsid w:val="009456ED"/>
    <w:rsid w:val="00945C41"/>
    <w:rsid w:val="00946369"/>
    <w:rsid w:val="009463E0"/>
    <w:rsid w:val="00946BFC"/>
    <w:rsid w:val="00946DEE"/>
    <w:rsid w:val="009473DD"/>
    <w:rsid w:val="009474EB"/>
    <w:rsid w:val="00947AD9"/>
    <w:rsid w:val="009512FA"/>
    <w:rsid w:val="00952300"/>
    <w:rsid w:val="009523EC"/>
    <w:rsid w:val="00954590"/>
    <w:rsid w:val="00954B50"/>
    <w:rsid w:val="00955B0B"/>
    <w:rsid w:val="009564FE"/>
    <w:rsid w:val="00956518"/>
    <w:rsid w:val="00957EC4"/>
    <w:rsid w:val="009600D7"/>
    <w:rsid w:val="0096012A"/>
    <w:rsid w:val="00960535"/>
    <w:rsid w:val="00960672"/>
    <w:rsid w:val="009609B1"/>
    <w:rsid w:val="00960B1A"/>
    <w:rsid w:val="009612D1"/>
    <w:rsid w:val="00961910"/>
    <w:rsid w:val="0096241C"/>
    <w:rsid w:val="009630C5"/>
    <w:rsid w:val="0096374A"/>
    <w:rsid w:val="0096696A"/>
    <w:rsid w:val="00966F1C"/>
    <w:rsid w:val="00967093"/>
    <w:rsid w:val="0096787D"/>
    <w:rsid w:val="00967A3D"/>
    <w:rsid w:val="00967D1E"/>
    <w:rsid w:val="009709CC"/>
    <w:rsid w:val="00970A26"/>
    <w:rsid w:val="00971523"/>
    <w:rsid w:val="009717A6"/>
    <w:rsid w:val="00973801"/>
    <w:rsid w:val="00973B0C"/>
    <w:rsid w:val="00973D20"/>
    <w:rsid w:val="00974919"/>
    <w:rsid w:val="00974E0D"/>
    <w:rsid w:val="00974E6A"/>
    <w:rsid w:val="0097535C"/>
    <w:rsid w:val="00975C40"/>
    <w:rsid w:val="00977580"/>
    <w:rsid w:val="00977682"/>
    <w:rsid w:val="00977A2B"/>
    <w:rsid w:val="00977FAA"/>
    <w:rsid w:val="0098071B"/>
    <w:rsid w:val="009817C3"/>
    <w:rsid w:val="0098237B"/>
    <w:rsid w:val="00982392"/>
    <w:rsid w:val="00983231"/>
    <w:rsid w:val="00983E9A"/>
    <w:rsid w:val="00984C13"/>
    <w:rsid w:val="009859D1"/>
    <w:rsid w:val="00985B64"/>
    <w:rsid w:val="00985BD9"/>
    <w:rsid w:val="00986200"/>
    <w:rsid w:val="009878EA"/>
    <w:rsid w:val="00987AD0"/>
    <w:rsid w:val="0099053D"/>
    <w:rsid w:val="00990A08"/>
    <w:rsid w:val="00990B94"/>
    <w:rsid w:val="00991EAA"/>
    <w:rsid w:val="00992DD2"/>
    <w:rsid w:val="009934DD"/>
    <w:rsid w:val="00993EAB"/>
    <w:rsid w:val="00994EED"/>
    <w:rsid w:val="0099503A"/>
    <w:rsid w:val="009953A5"/>
    <w:rsid w:val="00996430"/>
    <w:rsid w:val="009A0CAB"/>
    <w:rsid w:val="009A1053"/>
    <w:rsid w:val="009A12E6"/>
    <w:rsid w:val="009A1593"/>
    <w:rsid w:val="009A1ECA"/>
    <w:rsid w:val="009A1FED"/>
    <w:rsid w:val="009A2B2A"/>
    <w:rsid w:val="009A5016"/>
    <w:rsid w:val="009A5239"/>
    <w:rsid w:val="009A5275"/>
    <w:rsid w:val="009A59BC"/>
    <w:rsid w:val="009A5C9C"/>
    <w:rsid w:val="009A5FF1"/>
    <w:rsid w:val="009A655C"/>
    <w:rsid w:val="009A65B8"/>
    <w:rsid w:val="009A7806"/>
    <w:rsid w:val="009B00B5"/>
    <w:rsid w:val="009B0CED"/>
    <w:rsid w:val="009B1AA5"/>
    <w:rsid w:val="009B2740"/>
    <w:rsid w:val="009B3748"/>
    <w:rsid w:val="009B4F6B"/>
    <w:rsid w:val="009B56F7"/>
    <w:rsid w:val="009B68FE"/>
    <w:rsid w:val="009B7748"/>
    <w:rsid w:val="009C0183"/>
    <w:rsid w:val="009C058F"/>
    <w:rsid w:val="009C07A9"/>
    <w:rsid w:val="009C085C"/>
    <w:rsid w:val="009C0C37"/>
    <w:rsid w:val="009C33D0"/>
    <w:rsid w:val="009C468D"/>
    <w:rsid w:val="009C4B81"/>
    <w:rsid w:val="009C61DB"/>
    <w:rsid w:val="009C6295"/>
    <w:rsid w:val="009C72FD"/>
    <w:rsid w:val="009D033F"/>
    <w:rsid w:val="009D0391"/>
    <w:rsid w:val="009D0A32"/>
    <w:rsid w:val="009D0AE4"/>
    <w:rsid w:val="009D1237"/>
    <w:rsid w:val="009D14E0"/>
    <w:rsid w:val="009D27DA"/>
    <w:rsid w:val="009D2BA8"/>
    <w:rsid w:val="009D3EAE"/>
    <w:rsid w:val="009D3FEC"/>
    <w:rsid w:val="009D3FED"/>
    <w:rsid w:val="009D479F"/>
    <w:rsid w:val="009D5C46"/>
    <w:rsid w:val="009D5D4B"/>
    <w:rsid w:val="009D5EC5"/>
    <w:rsid w:val="009D63C5"/>
    <w:rsid w:val="009D694A"/>
    <w:rsid w:val="009D7D15"/>
    <w:rsid w:val="009D7D39"/>
    <w:rsid w:val="009E03A1"/>
    <w:rsid w:val="009E0684"/>
    <w:rsid w:val="009E0DB9"/>
    <w:rsid w:val="009E1215"/>
    <w:rsid w:val="009E230D"/>
    <w:rsid w:val="009E2316"/>
    <w:rsid w:val="009E284E"/>
    <w:rsid w:val="009E3980"/>
    <w:rsid w:val="009E5D03"/>
    <w:rsid w:val="009E6191"/>
    <w:rsid w:val="009E680C"/>
    <w:rsid w:val="009E7AFB"/>
    <w:rsid w:val="009F0953"/>
    <w:rsid w:val="009F0C87"/>
    <w:rsid w:val="009F1F09"/>
    <w:rsid w:val="009F2166"/>
    <w:rsid w:val="009F2820"/>
    <w:rsid w:val="009F2897"/>
    <w:rsid w:val="009F3F60"/>
    <w:rsid w:val="009F3FC7"/>
    <w:rsid w:val="009F42BA"/>
    <w:rsid w:val="009F4930"/>
    <w:rsid w:val="009F4E79"/>
    <w:rsid w:val="009F5085"/>
    <w:rsid w:val="009F5E5C"/>
    <w:rsid w:val="009F6DC5"/>
    <w:rsid w:val="009F762F"/>
    <w:rsid w:val="009F7FA3"/>
    <w:rsid w:val="00A01286"/>
    <w:rsid w:val="00A019B4"/>
    <w:rsid w:val="00A025C0"/>
    <w:rsid w:val="00A03ABD"/>
    <w:rsid w:val="00A03BF8"/>
    <w:rsid w:val="00A04BD8"/>
    <w:rsid w:val="00A04CA1"/>
    <w:rsid w:val="00A04D60"/>
    <w:rsid w:val="00A05A39"/>
    <w:rsid w:val="00A05B17"/>
    <w:rsid w:val="00A07279"/>
    <w:rsid w:val="00A073CF"/>
    <w:rsid w:val="00A073EB"/>
    <w:rsid w:val="00A0741C"/>
    <w:rsid w:val="00A0764E"/>
    <w:rsid w:val="00A07D91"/>
    <w:rsid w:val="00A107BF"/>
    <w:rsid w:val="00A1144E"/>
    <w:rsid w:val="00A12430"/>
    <w:rsid w:val="00A13588"/>
    <w:rsid w:val="00A13D9D"/>
    <w:rsid w:val="00A14057"/>
    <w:rsid w:val="00A140FC"/>
    <w:rsid w:val="00A147DB"/>
    <w:rsid w:val="00A149FB"/>
    <w:rsid w:val="00A14C09"/>
    <w:rsid w:val="00A14E07"/>
    <w:rsid w:val="00A16267"/>
    <w:rsid w:val="00A17E61"/>
    <w:rsid w:val="00A20191"/>
    <w:rsid w:val="00A20826"/>
    <w:rsid w:val="00A2091B"/>
    <w:rsid w:val="00A20A05"/>
    <w:rsid w:val="00A20CDE"/>
    <w:rsid w:val="00A20DA6"/>
    <w:rsid w:val="00A218FC"/>
    <w:rsid w:val="00A21964"/>
    <w:rsid w:val="00A21A85"/>
    <w:rsid w:val="00A227E8"/>
    <w:rsid w:val="00A22861"/>
    <w:rsid w:val="00A22E8B"/>
    <w:rsid w:val="00A236F5"/>
    <w:rsid w:val="00A23992"/>
    <w:rsid w:val="00A24426"/>
    <w:rsid w:val="00A252C1"/>
    <w:rsid w:val="00A255FE"/>
    <w:rsid w:val="00A259A7"/>
    <w:rsid w:val="00A25BDD"/>
    <w:rsid w:val="00A25C2C"/>
    <w:rsid w:val="00A265CC"/>
    <w:rsid w:val="00A273F8"/>
    <w:rsid w:val="00A27812"/>
    <w:rsid w:val="00A27B40"/>
    <w:rsid w:val="00A31AC9"/>
    <w:rsid w:val="00A31B4B"/>
    <w:rsid w:val="00A33D0B"/>
    <w:rsid w:val="00A3513F"/>
    <w:rsid w:val="00A354FE"/>
    <w:rsid w:val="00A35BA3"/>
    <w:rsid w:val="00A35DE7"/>
    <w:rsid w:val="00A35FA8"/>
    <w:rsid w:val="00A3605C"/>
    <w:rsid w:val="00A364BE"/>
    <w:rsid w:val="00A36A7B"/>
    <w:rsid w:val="00A408C9"/>
    <w:rsid w:val="00A41B39"/>
    <w:rsid w:val="00A41D68"/>
    <w:rsid w:val="00A4230B"/>
    <w:rsid w:val="00A426F5"/>
    <w:rsid w:val="00A427E3"/>
    <w:rsid w:val="00A43618"/>
    <w:rsid w:val="00A43E0D"/>
    <w:rsid w:val="00A43E8A"/>
    <w:rsid w:val="00A440CF"/>
    <w:rsid w:val="00A45F51"/>
    <w:rsid w:val="00A46B6A"/>
    <w:rsid w:val="00A46CA4"/>
    <w:rsid w:val="00A46EE9"/>
    <w:rsid w:val="00A470C4"/>
    <w:rsid w:val="00A50593"/>
    <w:rsid w:val="00A507A2"/>
    <w:rsid w:val="00A509D1"/>
    <w:rsid w:val="00A51050"/>
    <w:rsid w:val="00A51062"/>
    <w:rsid w:val="00A51274"/>
    <w:rsid w:val="00A5190F"/>
    <w:rsid w:val="00A53A6C"/>
    <w:rsid w:val="00A53D78"/>
    <w:rsid w:val="00A53E65"/>
    <w:rsid w:val="00A5499E"/>
    <w:rsid w:val="00A55546"/>
    <w:rsid w:val="00A55800"/>
    <w:rsid w:val="00A55CB0"/>
    <w:rsid w:val="00A55D99"/>
    <w:rsid w:val="00A5628E"/>
    <w:rsid w:val="00A577D2"/>
    <w:rsid w:val="00A57A50"/>
    <w:rsid w:val="00A60E9A"/>
    <w:rsid w:val="00A611EB"/>
    <w:rsid w:val="00A61345"/>
    <w:rsid w:val="00A61E85"/>
    <w:rsid w:val="00A6210E"/>
    <w:rsid w:val="00A634D5"/>
    <w:rsid w:val="00A640E5"/>
    <w:rsid w:val="00A64427"/>
    <w:rsid w:val="00A70159"/>
    <w:rsid w:val="00A702A8"/>
    <w:rsid w:val="00A70F7D"/>
    <w:rsid w:val="00A7110F"/>
    <w:rsid w:val="00A71635"/>
    <w:rsid w:val="00A71F2B"/>
    <w:rsid w:val="00A720DB"/>
    <w:rsid w:val="00A723A4"/>
    <w:rsid w:val="00A7284C"/>
    <w:rsid w:val="00A72895"/>
    <w:rsid w:val="00A728B3"/>
    <w:rsid w:val="00A729FA"/>
    <w:rsid w:val="00A72AFE"/>
    <w:rsid w:val="00A7327A"/>
    <w:rsid w:val="00A73356"/>
    <w:rsid w:val="00A73452"/>
    <w:rsid w:val="00A73C85"/>
    <w:rsid w:val="00A73CB2"/>
    <w:rsid w:val="00A73DA5"/>
    <w:rsid w:val="00A7413C"/>
    <w:rsid w:val="00A754AE"/>
    <w:rsid w:val="00A75605"/>
    <w:rsid w:val="00A7584C"/>
    <w:rsid w:val="00A771CB"/>
    <w:rsid w:val="00A810B9"/>
    <w:rsid w:val="00A8172E"/>
    <w:rsid w:val="00A81D05"/>
    <w:rsid w:val="00A81E5A"/>
    <w:rsid w:val="00A82678"/>
    <w:rsid w:val="00A82CB3"/>
    <w:rsid w:val="00A82EEC"/>
    <w:rsid w:val="00A82F41"/>
    <w:rsid w:val="00A83064"/>
    <w:rsid w:val="00A839C5"/>
    <w:rsid w:val="00A84276"/>
    <w:rsid w:val="00A842DB"/>
    <w:rsid w:val="00A84B3A"/>
    <w:rsid w:val="00A854DF"/>
    <w:rsid w:val="00A85B63"/>
    <w:rsid w:val="00A873EE"/>
    <w:rsid w:val="00A9160F"/>
    <w:rsid w:val="00A92286"/>
    <w:rsid w:val="00A93003"/>
    <w:rsid w:val="00A938B9"/>
    <w:rsid w:val="00A94D6A"/>
    <w:rsid w:val="00A95729"/>
    <w:rsid w:val="00A957CC"/>
    <w:rsid w:val="00A9592D"/>
    <w:rsid w:val="00A95EF5"/>
    <w:rsid w:val="00A967AF"/>
    <w:rsid w:val="00A9757D"/>
    <w:rsid w:val="00A97A4B"/>
    <w:rsid w:val="00AA0337"/>
    <w:rsid w:val="00AA08D4"/>
    <w:rsid w:val="00AA0BE0"/>
    <w:rsid w:val="00AA13ED"/>
    <w:rsid w:val="00AA147F"/>
    <w:rsid w:val="00AA1FBB"/>
    <w:rsid w:val="00AA25F7"/>
    <w:rsid w:val="00AA281C"/>
    <w:rsid w:val="00AA2F4D"/>
    <w:rsid w:val="00AA2FB7"/>
    <w:rsid w:val="00AA3867"/>
    <w:rsid w:val="00AA4C63"/>
    <w:rsid w:val="00AA5655"/>
    <w:rsid w:val="00AA624D"/>
    <w:rsid w:val="00AA6940"/>
    <w:rsid w:val="00AA78C2"/>
    <w:rsid w:val="00AB07B4"/>
    <w:rsid w:val="00AB0F9F"/>
    <w:rsid w:val="00AB1954"/>
    <w:rsid w:val="00AB1B2B"/>
    <w:rsid w:val="00AB2137"/>
    <w:rsid w:val="00AB3635"/>
    <w:rsid w:val="00AB3723"/>
    <w:rsid w:val="00AB37D0"/>
    <w:rsid w:val="00AB4692"/>
    <w:rsid w:val="00AB4DD0"/>
    <w:rsid w:val="00AB5BA4"/>
    <w:rsid w:val="00AB6CBE"/>
    <w:rsid w:val="00AB6FD9"/>
    <w:rsid w:val="00AB7167"/>
    <w:rsid w:val="00AB71EE"/>
    <w:rsid w:val="00AB7D68"/>
    <w:rsid w:val="00AC052A"/>
    <w:rsid w:val="00AC0FDA"/>
    <w:rsid w:val="00AC2024"/>
    <w:rsid w:val="00AC23A0"/>
    <w:rsid w:val="00AC2DBD"/>
    <w:rsid w:val="00AC2FD2"/>
    <w:rsid w:val="00AC3BAF"/>
    <w:rsid w:val="00AC4DD3"/>
    <w:rsid w:val="00AC4E43"/>
    <w:rsid w:val="00AC5385"/>
    <w:rsid w:val="00AC5788"/>
    <w:rsid w:val="00AC5A68"/>
    <w:rsid w:val="00AC61A5"/>
    <w:rsid w:val="00AC63E6"/>
    <w:rsid w:val="00AC75FD"/>
    <w:rsid w:val="00AD0810"/>
    <w:rsid w:val="00AD0DE4"/>
    <w:rsid w:val="00AD1241"/>
    <w:rsid w:val="00AD1E02"/>
    <w:rsid w:val="00AD2F55"/>
    <w:rsid w:val="00AD3035"/>
    <w:rsid w:val="00AD30B5"/>
    <w:rsid w:val="00AD3158"/>
    <w:rsid w:val="00AD3460"/>
    <w:rsid w:val="00AD49A8"/>
    <w:rsid w:val="00AD49AF"/>
    <w:rsid w:val="00AD4AD9"/>
    <w:rsid w:val="00AD5108"/>
    <w:rsid w:val="00AD5A9E"/>
    <w:rsid w:val="00AD62BC"/>
    <w:rsid w:val="00AD71BE"/>
    <w:rsid w:val="00AD7A22"/>
    <w:rsid w:val="00AD7B48"/>
    <w:rsid w:val="00AD7E92"/>
    <w:rsid w:val="00AD7EFF"/>
    <w:rsid w:val="00AE00CE"/>
    <w:rsid w:val="00AE0954"/>
    <w:rsid w:val="00AE152C"/>
    <w:rsid w:val="00AE18B6"/>
    <w:rsid w:val="00AE1E76"/>
    <w:rsid w:val="00AE2C0D"/>
    <w:rsid w:val="00AE4447"/>
    <w:rsid w:val="00AE463F"/>
    <w:rsid w:val="00AE5556"/>
    <w:rsid w:val="00AE5563"/>
    <w:rsid w:val="00AE6935"/>
    <w:rsid w:val="00AE6BD8"/>
    <w:rsid w:val="00AE6C92"/>
    <w:rsid w:val="00AE6F14"/>
    <w:rsid w:val="00AE7E11"/>
    <w:rsid w:val="00AF054B"/>
    <w:rsid w:val="00AF08D0"/>
    <w:rsid w:val="00AF0994"/>
    <w:rsid w:val="00AF183B"/>
    <w:rsid w:val="00AF1B42"/>
    <w:rsid w:val="00AF1B61"/>
    <w:rsid w:val="00AF1EC9"/>
    <w:rsid w:val="00AF2210"/>
    <w:rsid w:val="00AF288A"/>
    <w:rsid w:val="00AF2D15"/>
    <w:rsid w:val="00AF2EDB"/>
    <w:rsid w:val="00AF332D"/>
    <w:rsid w:val="00AF524F"/>
    <w:rsid w:val="00AF548B"/>
    <w:rsid w:val="00AF5CC6"/>
    <w:rsid w:val="00AF7EF4"/>
    <w:rsid w:val="00B008D3"/>
    <w:rsid w:val="00B00A1E"/>
    <w:rsid w:val="00B00BEC"/>
    <w:rsid w:val="00B00F31"/>
    <w:rsid w:val="00B011FB"/>
    <w:rsid w:val="00B0131E"/>
    <w:rsid w:val="00B0158E"/>
    <w:rsid w:val="00B017FE"/>
    <w:rsid w:val="00B024E5"/>
    <w:rsid w:val="00B03122"/>
    <w:rsid w:val="00B038A6"/>
    <w:rsid w:val="00B043CD"/>
    <w:rsid w:val="00B04584"/>
    <w:rsid w:val="00B04AC1"/>
    <w:rsid w:val="00B04C6F"/>
    <w:rsid w:val="00B05EE9"/>
    <w:rsid w:val="00B06EAA"/>
    <w:rsid w:val="00B0721F"/>
    <w:rsid w:val="00B1089C"/>
    <w:rsid w:val="00B11847"/>
    <w:rsid w:val="00B11BAD"/>
    <w:rsid w:val="00B11D26"/>
    <w:rsid w:val="00B121FF"/>
    <w:rsid w:val="00B12BAE"/>
    <w:rsid w:val="00B13162"/>
    <w:rsid w:val="00B14121"/>
    <w:rsid w:val="00B14890"/>
    <w:rsid w:val="00B156BF"/>
    <w:rsid w:val="00B15873"/>
    <w:rsid w:val="00B15CF3"/>
    <w:rsid w:val="00B20761"/>
    <w:rsid w:val="00B2089A"/>
    <w:rsid w:val="00B21648"/>
    <w:rsid w:val="00B242AB"/>
    <w:rsid w:val="00B2474A"/>
    <w:rsid w:val="00B2489B"/>
    <w:rsid w:val="00B24F0B"/>
    <w:rsid w:val="00B24F80"/>
    <w:rsid w:val="00B25384"/>
    <w:rsid w:val="00B256DE"/>
    <w:rsid w:val="00B256E1"/>
    <w:rsid w:val="00B2633C"/>
    <w:rsid w:val="00B2689D"/>
    <w:rsid w:val="00B300DC"/>
    <w:rsid w:val="00B30346"/>
    <w:rsid w:val="00B30973"/>
    <w:rsid w:val="00B313EF"/>
    <w:rsid w:val="00B32202"/>
    <w:rsid w:val="00B3244F"/>
    <w:rsid w:val="00B33AA0"/>
    <w:rsid w:val="00B34833"/>
    <w:rsid w:val="00B34BAD"/>
    <w:rsid w:val="00B35C4B"/>
    <w:rsid w:val="00B36138"/>
    <w:rsid w:val="00B3682D"/>
    <w:rsid w:val="00B36E7C"/>
    <w:rsid w:val="00B36F27"/>
    <w:rsid w:val="00B37632"/>
    <w:rsid w:val="00B41358"/>
    <w:rsid w:val="00B4141B"/>
    <w:rsid w:val="00B41A89"/>
    <w:rsid w:val="00B41EE3"/>
    <w:rsid w:val="00B423B6"/>
    <w:rsid w:val="00B4324B"/>
    <w:rsid w:val="00B43CBF"/>
    <w:rsid w:val="00B4468E"/>
    <w:rsid w:val="00B4506A"/>
    <w:rsid w:val="00B455EF"/>
    <w:rsid w:val="00B45919"/>
    <w:rsid w:val="00B46166"/>
    <w:rsid w:val="00B46DDE"/>
    <w:rsid w:val="00B500AF"/>
    <w:rsid w:val="00B50956"/>
    <w:rsid w:val="00B51118"/>
    <w:rsid w:val="00B525E8"/>
    <w:rsid w:val="00B52978"/>
    <w:rsid w:val="00B52B06"/>
    <w:rsid w:val="00B52BC8"/>
    <w:rsid w:val="00B542B0"/>
    <w:rsid w:val="00B547FC"/>
    <w:rsid w:val="00B54917"/>
    <w:rsid w:val="00B55328"/>
    <w:rsid w:val="00B566F9"/>
    <w:rsid w:val="00B56A9A"/>
    <w:rsid w:val="00B56B69"/>
    <w:rsid w:val="00B57EAB"/>
    <w:rsid w:val="00B61716"/>
    <w:rsid w:val="00B617BD"/>
    <w:rsid w:val="00B63541"/>
    <w:rsid w:val="00B648EE"/>
    <w:rsid w:val="00B65650"/>
    <w:rsid w:val="00B65B8B"/>
    <w:rsid w:val="00B660E3"/>
    <w:rsid w:val="00B66CF7"/>
    <w:rsid w:val="00B6714F"/>
    <w:rsid w:val="00B67A19"/>
    <w:rsid w:val="00B70096"/>
    <w:rsid w:val="00B706FE"/>
    <w:rsid w:val="00B71AF9"/>
    <w:rsid w:val="00B727CD"/>
    <w:rsid w:val="00B74A20"/>
    <w:rsid w:val="00B755D4"/>
    <w:rsid w:val="00B76DEA"/>
    <w:rsid w:val="00B76FB5"/>
    <w:rsid w:val="00B77A80"/>
    <w:rsid w:val="00B77C98"/>
    <w:rsid w:val="00B800A9"/>
    <w:rsid w:val="00B802F5"/>
    <w:rsid w:val="00B806DB"/>
    <w:rsid w:val="00B80E3F"/>
    <w:rsid w:val="00B81597"/>
    <w:rsid w:val="00B81690"/>
    <w:rsid w:val="00B82EC9"/>
    <w:rsid w:val="00B8323E"/>
    <w:rsid w:val="00B84778"/>
    <w:rsid w:val="00B84A3C"/>
    <w:rsid w:val="00B85013"/>
    <w:rsid w:val="00B8635C"/>
    <w:rsid w:val="00B87430"/>
    <w:rsid w:val="00B91DCA"/>
    <w:rsid w:val="00B92C01"/>
    <w:rsid w:val="00B931F9"/>
    <w:rsid w:val="00B934EF"/>
    <w:rsid w:val="00B93FB4"/>
    <w:rsid w:val="00B94170"/>
    <w:rsid w:val="00B9498D"/>
    <w:rsid w:val="00B94E0B"/>
    <w:rsid w:val="00B9525C"/>
    <w:rsid w:val="00B95292"/>
    <w:rsid w:val="00B95560"/>
    <w:rsid w:val="00B9637B"/>
    <w:rsid w:val="00B96F10"/>
    <w:rsid w:val="00B96F71"/>
    <w:rsid w:val="00B9786B"/>
    <w:rsid w:val="00BA15C6"/>
    <w:rsid w:val="00BA175F"/>
    <w:rsid w:val="00BA2070"/>
    <w:rsid w:val="00BA2265"/>
    <w:rsid w:val="00BA2971"/>
    <w:rsid w:val="00BA3C46"/>
    <w:rsid w:val="00BA6C5B"/>
    <w:rsid w:val="00BA7774"/>
    <w:rsid w:val="00BB0BE4"/>
    <w:rsid w:val="00BB0CE0"/>
    <w:rsid w:val="00BB0EFD"/>
    <w:rsid w:val="00BB2691"/>
    <w:rsid w:val="00BB3584"/>
    <w:rsid w:val="00BB4198"/>
    <w:rsid w:val="00BB4A82"/>
    <w:rsid w:val="00BB4B37"/>
    <w:rsid w:val="00BB5552"/>
    <w:rsid w:val="00BB5E13"/>
    <w:rsid w:val="00BB6B62"/>
    <w:rsid w:val="00BB6FC3"/>
    <w:rsid w:val="00BB764C"/>
    <w:rsid w:val="00BB7BC0"/>
    <w:rsid w:val="00BB7D8A"/>
    <w:rsid w:val="00BC0FE4"/>
    <w:rsid w:val="00BC126B"/>
    <w:rsid w:val="00BC168C"/>
    <w:rsid w:val="00BC1D7F"/>
    <w:rsid w:val="00BC2016"/>
    <w:rsid w:val="00BC2198"/>
    <w:rsid w:val="00BC3E92"/>
    <w:rsid w:val="00BC43F2"/>
    <w:rsid w:val="00BC5E70"/>
    <w:rsid w:val="00BC7C7F"/>
    <w:rsid w:val="00BD0173"/>
    <w:rsid w:val="00BD09EE"/>
    <w:rsid w:val="00BD100A"/>
    <w:rsid w:val="00BD1F1C"/>
    <w:rsid w:val="00BD1F24"/>
    <w:rsid w:val="00BD2B62"/>
    <w:rsid w:val="00BD2E19"/>
    <w:rsid w:val="00BD3113"/>
    <w:rsid w:val="00BD44BE"/>
    <w:rsid w:val="00BD45C0"/>
    <w:rsid w:val="00BD4745"/>
    <w:rsid w:val="00BD4965"/>
    <w:rsid w:val="00BD4A40"/>
    <w:rsid w:val="00BD4B04"/>
    <w:rsid w:val="00BD4F3D"/>
    <w:rsid w:val="00BD58F0"/>
    <w:rsid w:val="00BD789C"/>
    <w:rsid w:val="00BD7AA9"/>
    <w:rsid w:val="00BD7C48"/>
    <w:rsid w:val="00BE07F9"/>
    <w:rsid w:val="00BE0810"/>
    <w:rsid w:val="00BE09E7"/>
    <w:rsid w:val="00BE2213"/>
    <w:rsid w:val="00BE2226"/>
    <w:rsid w:val="00BE44FD"/>
    <w:rsid w:val="00BE4628"/>
    <w:rsid w:val="00BE4D1C"/>
    <w:rsid w:val="00BE516E"/>
    <w:rsid w:val="00BE5797"/>
    <w:rsid w:val="00BE6A0B"/>
    <w:rsid w:val="00BE7573"/>
    <w:rsid w:val="00BF0E95"/>
    <w:rsid w:val="00BF1BF3"/>
    <w:rsid w:val="00BF1D3E"/>
    <w:rsid w:val="00BF3286"/>
    <w:rsid w:val="00BF33E7"/>
    <w:rsid w:val="00BF36A3"/>
    <w:rsid w:val="00BF3740"/>
    <w:rsid w:val="00BF3FED"/>
    <w:rsid w:val="00BF418A"/>
    <w:rsid w:val="00BF4FD7"/>
    <w:rsid w:val="00BF5FF4"/>
    <w:rsid w:val="00BF614D"/>
    <w:rsid w:val="00BF75CC"/>
    <w:rsid w:val="00C000D5"/>
    <w:rsid w:val="00C0076B"/>
    <w:rsid w:val="00C00EEF"/>
    <w:rsid w:val="00C00FA1"/>
    <w:rsid w:val="00C01CFF"/>
    <w:rsid w:val="00C0228C"/>
    <w:rsid w:val="00C03A1A"/>
    <w:rsid w:val="00C04447"/>
    <w:rsid w:val="00C04CAB"/>
    <w:rsid w:val="00C053DC"/>
    <w:rsid w:val="00C05A81"/>
    <w:rsid w:val="00C0714D"/>
    <w:rsid w:val="00C113D1"/>
    <w:rsid w:val="00C11F57"/>
    <w:rsid w:val="00C12491"/>
    <w:rsid w:val="00C1305E"/>
    <w:rsid w:val="00C134C8"/>
    <w:rsid w:val="00C13CBC"/>
    <w:rsid w:val="00C151AC"/>
    <w:rsid w:val="00C15911"/>
    <w:rsid w:val="00C15DC4"/>
    <w:rsid w:val="00C165B8"/>
    <w:rsid w:val="00C2035C"/>
    <w:rsid w:val="00C2064B"/>
    <w:rsid w:val="00C20701"/>
    <w:rsid w:val="00C21130"/>
    <w:rsid w:val="00C21A50"/>
    <w:rsid w:val="00C22A49"/>
    <w:rsid w:val="00C2300F"/>
    <w:rsid w:val="00C23291"/>
    <w:rsid w:val="00C23C43"/>
    <w:rsid w:val="00C24E92"/>
    <w:rsid w:val="00C26C1F"/>
    <w:rsid w:val="00C32645"/>
    <w:rsid w:val="00C329B7"/>
    <w:rsid w:val="00C32E1E"/>
    <w:rsid w:val="00C33667"/>
    <w:rsid w:val="00C3488E"/>
    <w:rsid w:val="00C34BAA"/>
    <w:rsid w:val="00C35811"/>
    <w:rsid w:val="00C35A92"/>
    <w:rsid w:val="00C36AF8"/>
    <w:rsid w:val="00C3765C"/>
    <w:rsid w:val="00C400A6"/>
    <w:rsid w:val="00C4017F"/>
    <w:rsid w:val="00C4025A"/>
    <w:rsid w:val="00C40F6B"/>
    <w:rsid w:val="00C41B2E"/>
    <w:rsid w:val="00C4216A"/>
    <w:rsid w:val="00C4527C"/>
    <w:rsid w:val="00C459E3"/>
    <w:rsid w:val="00C45AA8"/>
    <w:rsid w:val="00C45E49"/>
    <w:rsid w:val="00C4613E"/>
    <w:rsid w:val="00C468D3"/>
    <w:rsid w:val="00C46F83"/>
    <w:rsid w:val="00C475DA"/>
    <w:rsid w:val="00C50080"/>
    <w:rsid w:val="00C5055B"/>
    <w:rsid w:val="00C50CBE"/>
    <w:rsid w:val="00C50F61"/>
    <w:rsid w:val="00C51E65"/>
    <w:rsid w:val="00C52752"/>
    <w:rsid w:val="00C534F7"/>
    <w:rsid w:val="00C53636"/>
    <w:rsid w:val="00C536B8"/>
    <w:rsid w:val="00C5380F"/>
    <w:rsid w:val="00C5387B"/>
    <w:rsid w:val="00C54DFC"/>
    <w:rsid w:val="00C55803"/>
    <w:rsid w:val="00C55B06"/>
    <w:rsid w:val="00C55BAD"/>
    <w:rsid w:val="00C5686F"/>
    <w:rsid w:val="00C574A7"/>
    <w:rsid w:val="00C57EE0"/>
    <w:rsid w:val="00C617D8"/>
    <w:rsid w:val="00C62F9D"/>
    <w:rsid w:val="00C63AF5"/>
    <w:rsid w:val="00C64459"/>
    <w:rsid w:val="00C645D6"/>
    <w:rsid w:val="00C647BA"/>
    <w:rsid w:val="00C6500A"/>
    <w:rsid w:val="00C65F28"/>
    <w:rsid w:val="00C66901"/>
    <w:rsid w:val="00C669E0"/>
    <w:rsid w:val="00C70F91"/>
    <w:rsid w:val="00C71242"/>
    <w:rsid w:val="00C71AAC"/>
    <w:rsid w:val="00C72108"/>
    <w:rsid w:val="00C72119"/>
    <w:rsid w:val="00C72376"/>
    <w:rsid w:val="00C72887"/>
    <w:rsid w:val="00C72E46"/>
    <w:rsid w:val="00C73B8C"/>
    <w:rsid w:val="00C73BE2"/>
    <w:rsid w:val="00C73CC5"/>
    <w:rsid w:val="00C74BF6"/>
    <w:rsid w:val="00C75F5D"/>
    <w:rsid w:val="00C76243"/>
    <w:rsid w:val="00C764AE"/>
    <w:rsid w:val="00C7681D"/>
    <w:rsid w:val="00C768F8"/>
    <w:rsid w:val="00C770EB"/>
    <w:rsid w:val="00C800D3"/>
    <w:rsid w:val="00C81213"/>
    <w:rsid w:val="00C81293"/>
    <w:rsid w:val="00C81438"/>
    <w:rsid w:val="00C82F94"/>
    <w:rsid w:val="00C84BAB"/>
    <w:rsid w:val="00C8518A"/>
    <w:rsid w:val="00C85D8B"/>
    <w:rsid w:val="00C86BA7"/>
    <w:rsid w:val="00C87278"/>
    <w:rsid w:val="00C87B18"/>
    <w:rsid w:val="00C90296"/>
    <w:rsid w:val="00C9047D"/>
    <w:rsid w:val="00C926E7"/>
    <w:rsid w:val="00C92C73"/>
    <w:rsid w:val="00C92D90"/>
    <w:rsid w:val="00C93A44"/>
    <w:rsid w:val="00C94420"/>
    <w:rsid w:val="00C946A2"/>
    <w:rsid w:val="00C9494D"/>
    <w:rsid w:val="00C94A5B"/>
    <w:rsid w:val="00C94FF0"/>
    <w:rsid w:val="00C959B3"/>
    <w:rsid w:val="00C95C0E"/>
    <w:rsid w:val="00C973E8"/>
    <w:rsid w:val="00C97474"/>
    <w:rsid w:val="00C97990"/>
    <w:rsid w:val="00C97DA4"/>
    <w:rsid w:val="00CA0DF7"/>
    <w:rsid w:val="00CA11BA"/>
    <w:rsid w:val="00CA18D6"/>
    <w:rsid w:val="00CA4E0E"/>
    <w:rsid w:val="00CA532F"/>
    <w:rsid w:val="00CA5737"/>
    <w:rsid w:val="00CA5F09"/>
    <w:rsid w:val="00CA7AD6"/>
    <w:rsid w:val="00CA7C4C"/>
    <w:rsid w:val="00CB0BF1"/>
    <w:rsid w:val="00CB1144"/>
    <w:rsid w:val="00CB23B8"/>
    <w:rsid w:val="00CB24D0"/>
    <w:rsid w:val="00CB2DCF"/>
    <w:rsid w:val="00CB37A7"/>
    <w:rsid w:val="00CB3AB9"/>
    <w:rsid w:val="00CB41DC"/>
    <w:rsid w:val="00CB4318"/>
    <w:rsid w:val="00CB467A"/>
    <w:rsid w:val="00CB50DF"/>
    <w:rsid w:val="00CB5285"/>
    <w:rsid w:val="00CB6C5C"/>
    <w:rsid w:val="00CC04DF"/>
    <w:rsid w:val="00CC07A1"/>
    <w:rsid w:val="00CC0DA1"/>
    <w:rsid w:val="00CC1879"/>
    <w:rsid w:val="00CC1DB8"/>
    <w:rsid w:val="00CC2A91"/>
    <w:rsid w:val="00CC3F08"/>
    <w:rsid w:val="00CC48F5"/>
    <w:rsid w:val="00CC4A8A"/>
    <w:rsid w:val="00CC57CA"/>
    <w:rsid w:val="00CC676D"/>
    <w:rsid w:val="00CC77EF"/>
    <w:rsid w:val="00CC7BAF"/>
    <w:rsid w:val="00CD0316"/>
    <w:rsid w:val="00CD05EE"/>
    <w:rsid w:val="00CD102C"/>
    <w:rsid w:val="00CD1252"/>
    <w:rsid w:val="00CD16D2"/>
    <w:rsid w:val="00CD1BD7"/>
    <w:rsid w:val="00CD2325"/>
    <w:rsid w:val="00CD32CB"/>
    <w:rsid w:val="00CD39AF"/>
    <w:rsid w:val="00CD4527"/>
    <w:rsid w:val="00CD5652"/>
    <w:rsid w:val="00CD5C36"/>
    <w:rsid w:val="00CD71D4"/>
    <w:rsid w:val="00CD7996"/>
    <w:rsid w:val="00CE1510"/>
    <w:rsid w:val="00CE1830"/>
    <w:rsid w:val="00CE21E2"/>
    <w:rsid w:val="00CE2FA6"/>
    <w:rsid w:val="00CE3971"/>
    <w:rsid w:val="00CE3B41"/>
    <w:rsid w:val="00CE52B0"/>
    <w:rsid w:val="00CE5E1E"/>
    <w:rsid w:val="00CE6075"/>
    <w:rsid w:val="00CE67D6"/>
    <w:rsid w:val="00CE7A3E"/>
    <w:rsid w:val="00CF0371"/>
    <w:rsid w:val="00CF17CA"/>
    <w:rsid w:val="00CF1F92"/>
    <w:rsid w:val="00CF21E4"/>
    <w:rsid w:val="00CF2481"/>
    <w:rsid w:val="00CF285A"/>
    <w:rsid w:val="00CF3583"/>
    <w:rsid w:val="00CF44EF"/>
    <w:rsid w:val="00CF63AC"/>
    <w:rsid w:val="00CF6F21"/>
    <w:rsid w:val="00D002B3"/>
    <w:rsid w:val="00D00324"/>
    <w:rsid w:val="00D00C01"/>
    <w:rsid w:val="00D019C9"/>
    <w:rsid w:val="00D01B3E"/>
    <w:rsid w:val="00D03A64"/>
    <w:rsid w:val="00D04796"/>
    <w:rsid w:val="00D0496A"/>
    <w:rsid w:val="00D04C18"/>
    <w:rsid w:val="00D04C2B"/>
    <w:rsid w:val="00D04EE4"/>
    <w:rsid w:val="00D05162"/>
    <w:rsid w:val="00D05537"/>
    <w:rsid w:val="00D05A90"/>
    <w:rsid w:val="00D106A5"/>
    <w:rsid w:val="00D111F1"/>
    <w:rsid w:val="00D122A9"/>
    <w:rsid w:val="00D1295F"/>
    <w:rsid w:val="00D12CE4"/>
    <w:rsid w:val="00D13A9F"/>
    <w:rsid w:val="00D14E2E"/>
    <w:rsid w:val="00D15281"/>
    <w:rsid w:val="00D16A18"/>
    <w:rsid w:val="00D16B38"/>
    <w:rsid w:val="00D16EBB"/>
    <w:rsid w:val="00D171E6"/>
    <w:rsid w:val="00D174B6"/>
    <w:rsid w:val="00D176F4"/>
    <w:rsid w:val="00D17900"/>
    <w:rsid w:val="00D21819"/>
    <w:rsid w:val="00D21A8F"/>
    <w:rsid w:val="00D21D84"/>
    <w:rsid w:val="00D22583"/>
    <w:rsid w:val="00D22B45"/>
    <w:rsid w:val="00D22DA8"/>
    <w:rsid w:val="00D23943"/>
    <w:rsid w:val="00D23AB1"/>
    <w:rsid w:val="00D23E3D"/>
    <w:rsid w:val="00D23E67"/>
    <w:rsid w:val="00D24483"/>
    <w:rsid w:val="00D254E7"/>
    <w:rsid w:val="00D2551E"/>
    <w:rsid w:val="00D2586B"/>
    <w:rsid w:val="00D259E3"/>
    <w:rsid w:val="00D25AA4"/>
    <w:rsid w:val="00D25FD9"/>
    <w:rsid w:val="00D26436"/>
    <w:rsid w:val="00D27323"/>
    <w:rsid w:val="00D3026C"/>
    <w:rsid w:val="00D31762"/>
    <w:rsid w:val="00D31992"/>
    <w:rsid w:val="00D3290A"/>
    <w:rsid w:val="00D33856"/>
    <w:rsid w:val="00D3455F"/>
    <w:rsid w:val="00D346E9"/>
    <w:rsid w:val="00D3511F"/>
    <w:rsid w:val="00D352A2"/>
    <w:rsid w:val="00D355C7"/>
    <w:rsid w:val="00D35884"/>
    <w:rsid w:val="00D363D4"/>
    <w:rsid w:val="00D368C6"/>
    <w:rsid w:val="00D36E98"/>
    <w:rsid w:val="00D371AA"/>
    <w:rsid w:val="00D373A1"/>
    <w:rsid w:val="00D37838"/>
    <w:rsid w:val="00D40823"/>
    <w:rsid w:val="00D40AC2"/>
    <w:rsid w:val="00D40C36"/>
    <w:rsid w:val="00D41800"/>
    <w:rsid w:val="00D41D8F"/>
    <w:rsid w:val="00D41F57"/>
    <w:rsid w:val="00D42A2E"/>
    <w:rsid w:val="00D4304F"/>
    <w:rsid w:val="00D44490"/>
    <w:rsid w:val="00D449AB"/>
    <w:rsid w:val="00D44FD4"/>
    <w:rsid w:val="00D4518D"/>
    <w:rsid w:val="00D451F9"/>
    <w:rsid w:val="00D45748"/>
    <w:rsid w:val="00D46434"/>
    <w:rsid w:val="00D50122"/>
    <w:rsid w:val="00D50BCD"/>
    <w:rsid w:val="00D51164"/>
    <w:rsid w:val="00D512D7"/>
    <w:rsid w:val="00D51320"/>
    <w:rsid w:val="00D51905"/>
    <w:rsid w:val="00D519CB"/>
    <w:rsid w:val="00D5289C"/>
    <w:rsid w:val="00D54E61"/>
    <w:rsid w:val="00D54EFA"/>
    <w:rsid w:val="00D55388"/>
    <w:rsid w:val="00D55DDD"/>
    <w:rsid w:val="00D56C73"/>
    <w:rsid w:val="00D60676"/>
    <w:rsid w:val="00D61185"/>
    <w:rsid w:val="00D612B1"/>
    <w:rsid w:val="00D6168B"/>
    <w:rsid w:val="00D61DEF"/>
    <w:rsid w:val="00D62A1A"/>
    <w:rsid w:val="00D62CC9"/>
    <w:rsid w:val="00D6391F"/>
    <w:rsid w:val="00D639CB"/>
    <w:rsid w:val="00D63AC3"/>
    <w:rsid w:val="00D63B28"/>
    <w:rsid w:val="00D63B79"/>
    <w:rsid w:val="00D657B3"/>
    <w:rsid w:val="00D65BFB"/>
    <w:rsid w:val="00D65EE2"/>
    <w:rsid w:val="00D66473"/>
    <w:rsid w:val="00D66577"/>
    <w:rsid w:val="00D6798F"/>
    <w:rsid w:val="00D70121"/>
    <w:rsid w:val="00D70943"/>
    <w:rsid w:val="00D70CC0"/>
    <w:rsid w:val="00D70F30"/>
    <w:rsid w:val="00D7141A"/>
    <w:rsid w:val="00D71B7B"/>
    <w:rsid w:val="00D71D74"/>
    <w:rsid w:val="00D73403"/>
    <w:rsid w:val="00D734FB"/>
    <w:rsid w:val="00D735C3"/>
    <w:rsid w:val="00D73AF2"/>
    <w:rsid w:val="00D73C27"/>
    <w:rsid w:val="00D74AB2"/>
    <w:rsid w:val="00D7601D"/>
    <w:rsid w:val="00D769B9"/>
    <w:rsid w:val="00D7739B"/>
    <w:rsid w:val="00D80A90"/>
    <w:rsid w:val="00D80F69"/>
    <w:rsid w:val="00D811FE"/>
    <w:rsid w:val="00D8162E"/>
    <w:rsid w:val="00D819B4"/>
    <w:rsid w:val="00D81FA1"/>
    <w:rsid w:val="00D82F10"/>
    <w:rsid w:val="00D83080"/>
    <w:rsid w:val="00D832F7"/>
    <w:rsid w:val="00D84094"/>
    <w:rsid w:val="00D847F6"/>
    <w:rsid w:val="00D85327"/>
    <w:rsid w:val="00D85375"/>
    <w:rsid w:val="00D85A86"/>
    <w:rsid w:val="00D86EF1"/>
    <w:rsid w:val="00D872CC"/>
    <w:rsid w:val="00D8744C"/>
    <w:rsid w:val="00D878F9"/>
    <w:rsid w:val="00D87DEC"/>
    <w:rsid w:val="00D91D9E"/>
    <w:rsid w:val="00D91E05"/>
    <w:rsid w:val="00D91E1D"/>
    <w:rsid w:val="00D92038"/>
    <w:rsid w:val="00D9241F"/>
    <w:rsid w:val="00D92ED4"/>
    <w:rsid w:val="00D935EF"/>
    <w:rsid w:val="00D93B63"/>
    <w:rsid w:val="00D94009"/>
    <w:rsid w:val="00D950E9"/>
    <w:rsid w:val="00D954C2"/>
    <w:rsid w:val="00D9600E"/>
    <w:rsid w:val="00D96A18"/>
    <w:rsid w:val="00D97109"/>
    <w:rsid w:val="00D97D89"/>
    <w:rsid w:val="00DA0B67"/>
    <w:rsid w:val="00DA1FFB"/>
    <w:rsid w:val="00DA2E28"/>
    <w:rsid w:val="00DA3F71"/>
    <w:rsid w:val="00DA51DE"/>
    <w:rsid w:val="00DA5E71"/>
    <w:rsid w:val="00DA644F"/>
    <w:rsid w:val="00DA6596"/>
    <w:rsid w:val="00DA7052"/>
    <w:rsid w:val="00DA75D9"/>
    <w:rsid w:val="00DB0183"/>
    <w:rsid w:val="00DB09C2"/>
    <w:rsid w:val="00DB342D"/>
    <w:rsid w:val="00DB40F8"/>
    <w:rsid w:val="00DB4E1B"/>
    <w:rsid w:val="00DB5BF1"/>
    <w:rsid w:val="00DB5DBB"/>
    <w:rsid w:val="00DB5EDB"/>
    <w:rsid w:val="00DB6217"/>
    <w:rsid w:val="00DB6596"/>
    <w:rsid w:val="00DB694A"/>
    <w:rsid w:val="00DB7D7E"/>
    <w:rsid w:val="00DC075E"/>
    <w:rsid w:val="00DC0DC6"/>
    <w:rsid w:val="00DC0EC1"/>
    <w:rsid w:val="00DC23A5"/>
    <w:rsid w:val="00DC2834"/>
    <w:rsid w:val="00DC2B49"/>
    <w:rsid w:val="00DC2B78"/>
    <w:rsid w:val="00DC2F4D"/>
    <w:rsid w:val="00DC3368"/>
    <w:rsid w:val="00DC431D"/>
    <w:rsid w:val="00DC43C1"/>
    <w:rsid w:val="00DC589A"/>
    <w:rsid w:val="00DC6BA8"/>
    <w:rsid w:val="00DD0335"/>
    <w:rsid w:val="00DD1A27"/>
    <w:rsid w:val="00DD36C4"/>
    <w:rsid w:val="00DD37BA"/>
    <w:rsid w:val="00DD4065"/>
    <w:rsid w:val="00DD4250"/>
    <w:rsid w:val="00DD497E"/>
    <w:rsid w:val="00DD4D13"/>
    <w:rsid w:val="00DD50B4"/>
    <w:rsid w:val="00DD5218"/>
    <w:rsid w:val="00DD5E5E"/>
    <w:rsid w:val="00DD5F9F"/>
    <w:rsid w:val="00DD7087"/>
    <w:rsid w:val="00DD7220"/>
    <w:rsid w:val="00DD77FA"/>
    <w:rsid w:val="00DD78A6"/>
    <w:rsid w:val="00DD7A32"/>
    <w:rsid w:val="00DD7AEE"/>
    <w:rsid w:val="00DE0C1A"/>
    <w:rsid w:val="00DE186A"/>
    <w:rsid w:val="00DE2AC9"/>
    <w:rsid w:val="00DE3B77"/>
    <w:rsid w:val="00DE497E"/>
    <w:rsid w:val="00DE4F11"/>
    <w:rsid w:val="00DE500A"/>
    <w:rsid w:val="00DE5694"/>
    <w:rsid w:val="00DE57FD"/>
    <w:rsid w:val="00DE67C7"/>
    <w:rsid w:val="00DE70B0"/>
    <w:rsid w:val="00DE72BB"/>
    <w:rsid w:val="00DF21CC"/>
    <w:rsid w:val="00DF2482"/>
    <w:rsid w:val="00DF30C3"/>
    <w:rsid w:val="00DF3C9F"/>
    <w:rsid w:val="00DF4A12"/>
    <w:rsid w:val="00DF535E"/>
    <w:rsid w:val="00DF54CE"/>
    <w:rsid w:val="00DF5B3C"/>
    <w:rsid w:val="00DF69BF"/>
    <w:rsid w:val="00DF6C1B"/>
    <w:rsid w:val="00DF75AE"/>
    <w:rsid w:val="00DF7796"/>
    <w:rsid w:val="00DF7A34"/>
    <w:rsid w:val="00E01A1B"/>
    <w:rsid w:val="00E027C1"/>
    <w:rsid w:val="00E02A73"/>
    <w:rsid w:val="00E031EF"/>
    <w:rsid w:val="00E045AB"/>
    <w:rsid w:val="00E048D2"/>
    <w:rsid w:val="00E04B3E"/>
    <w:rsid w:val="00E05085"/>
    <w:rsid w:val="00E06364"/>
    <w:rsid w:val="00E068A5"/>
    <w:rsid w:val="00E07A5F"/>
    <w:rsid w:val="00E07C65"/>
    <w:rsid w:val="00E10189"/>
    <w:rsid w:val="00E10419"/>
    <w:rsid w:val="00E105D9"/>
    <w:rsid w:val="00E108B2"/>
    <w:rsid w:val="00E108CB"/>
    <w:rsid w:val="00E10BEE"/>
    <w:rsid w:val="00E11485"/>
    <w:rsid w:val="00E1240A"/>
    <w:rsid w:val="00E12437"/>
    <w:rsid w:val="00E12F7F"/>
    <w:rsid w:val="00E147E3"/>
    <w:rsid w:val="00E15744"/>
    <w:rsid w:val="00E1587A"/>
    <w:rsid w:val="00E1590B"/>
    <w:rsid w:val="00E16031"/>
    <w:rsid w:val="00E16832"/>
    <w:rsid w:val="00E16FC4"/>
    <w:rsid w:val="00E17006"/>
    <w:rsid w:val="00E17534"/>
    <w:rsid w:val="00E20C19"/>
    <w:rsid w:val="00E20D45"/>
    <w:rsid w:val="00E20E43"/>
    <w:rsid w:val="00E20E93"/>
    <w:rsid w:val="00E2115C"/>
    <w:rsid w:val="00E24173"/>
    <w:rsid w:val="00E2419C"/>
    <w:rsid w:val="00E24DCD"/>
    <w:rsid w:val="00E25C0C"/>
    <w:rsid w:val="00E267FD"/>
    <w:rsid w:val="00E26916"/>
    <w:rsid w:val="00E27FD9"/>
    <w:rsid w:val="00E307B3"/>
    <w:rsid w:val="00E30903"/>
    <w:rsid w:val="00E31563"/>
    <w:rsid w:val="00E31932"/>
    <w:rsid w:val="00E32C3D"/>
    <w:rsid w:val="00E3303B"/>
    <w:rsid w:val="00E35C45"/>
    <w:rsid w:val="00E362A7"/>
    <w:rsid w:val="00E372A8"/>
    <w:rsid w:val="00E3764F"/>
    <w:rsid w:val="00E37815"/>
    <w:rsid w:val="00E40AA0"/>
    <w:rsid w:val="00E40AE3"/>
    <w:rsid w:val="00E425C8"/>
    <w:rsid w:val="00E42BF9"/>
    <w:rsid w:val="00E43253"/>
    <w:rsid w:val="00E43845"/>
    <w:rsid w:val="00E43C72"/>
    <w:rsid w:val="00E43DB0"/>
    <w:rsid w:val="00E44433"/>
    <w:rsid w:val="00E44A09"/>
    <w:rsid w:val="00E44A8C"/>
    <w:rsid w:val="00E45AFA"/>
    <w:rsid w:val="00E47F26"/>
    <w:rsid w:val="00E50883"/>
    <w:rsid w:val="00E51186"/>
    <w:rsid w:val="00E5169B"/>
    <w:rsid w:val="00E52893"/>
    <w:rsid w:val="00E5323A"/>
    <w:rsid w:val="00E5323E"/>
    <w:rsid w:val="00E5377C"/>
    <w:rsid w:val="00E53F7C"/>
    <w:rsid w:val="00E54F31"/>
    <w:rsid w:val="00E5514A"/>
    <w:rsid w:val="00E552D1"/>
    <w:rsid w:val="00E56227"/>
    <w:rsid w:val="00E5664D"/>
    <w:rsid w:val="00E573FC"/>
    <w:rsid w:val="00E57C41"/>
    <w:rsid w:val="00E61006"/>
    <w:rsid w:val="00E6204C"/>
    <w:rsid w:val="00E6250F"/>
    <w:rsid w:val="00E62915"/>
    <w:rsid w:val="00E631A4"/>
    <w:rsid w:val="00E63441"/>
    <w:rsid w:val="00E63CC3"/>
    <w:rsid w:val="00E657CD"/>
    <w:rsid w:val="00E65AC9"/>
    <w:rsid w:val="00E661C2"/>
    <w:rsid w:val="00E6710C"/>
    <w:rsid w:val="00E6719C"/>
    <w:rsid w:val="00E6761A"/>
    <w:rsid w:val="00E67CD1"/>
    <w:rsid w:val="00E711AF"/>
    <w:rsid w:val="00E71F42"/>
    <w:rsid w:val="00E71F52"/>
    <w:rsid w:val="00E72737"/>
    <w:rsid w:val="00E72DF6"/>
    <w:rsid w:val="00E733B9"/>
    <w:rsid w:val="00E733F1"/>
    <w:rsid w:val="00E7499E"/>
    <w:rsid w:val="00E749A8"/>
    <w:rsid w:val="00E753FA"/>
    <w:rsid w:val="00E75513"/>
    <w:rsid w:val="00E7775E"/>
    <w:rsid w:val="00E77D6A"/>
    <w:rsid w:val="00E808FE"/>
    <w:rsid w:val="00E80CEF"/>
    <w:rsid w:val="00E81A39"/>
    <w:rsid w:val="00E81B7B"/>
    <w:rsid w:val="00E81BFE"/>
    <w:rsid w:val="00E82858"/>
    <w:rsid w:val="00E82F14"/>
    <w:rsid w:val="00E8334D"/>
    <w:rsid w:val="00E84439"/>
    <w:rsid w:val="00E85F91"/>
    <w:rsid w:val="00E863FD"/>
    <w:rsid w:val="00E86AE5"/>
    <w:rsid w:val="00E86BF9"/>
    <w:rsid w:val="00E86CA1"/>
    <w:rsid w:val="00E870D7"/>
    <w:rsid w:val="00E87145"/>
    <w:rsid w:val="00E87611"/>
    <w:rsid w:val="00E90A6F"/>
    <w:rsid w:val="00E9200B"/>
    <w:rsid w:val="00E927A7"/>
    <w:rsid w:val="00E92940"/>
    <w:rsid w:val="00E92952"/>
    <w:rsid w:val="00E93D9B"/>
    <w:rsid w:val="00E94008"/>
    <w:rsid w:val="00E94789"/>
    <w:rsid w:val="00E94BF6"/>
    <w:rsid w:val="00E94FFA"/>
    <w:rsid w:val="00E95323"/>
    <w:rsid w:val="00E964F5"/>
    <w:rsid w:val="00E97649"/>
    <w:rsid w:val="00E97E84"/>
    <w:rsid w:val="00EA0778"/>
    <w:rsid w:val="00EA0E31"/>
    <w:rsid w:val="00EA0E90"/>
    <w:rsid w:val="00EA0F71"/>
    <w:rsid w:val="00EA0F97"/>
    <w:rsid w:val="00EA1DDA"/>
    <w:rsid w:val="00EA386C"/>
    <w:rsid w:val="00EA4BC6"/>
    <w:rsid w:val="00EA5016"/>
    <w:rsid w:val="00EA5703"/>
    <w:rsid w:val="00EA644F"/>
    <w:rsid w:val="00EA78A2"/>
    <w:rsid w:val="00EA7DDB"/>
    <w:rsid w:val="00EB06BC"/>
    <w:rsid w:val="00EB1125"/>
    <w:rsid w:val="00EB1C1B"/>
    <w:rsid w:val="00EB29F2"/>
    <w:rsid w:val="00EB3DE1"/>
    <w:rsid w:val="00EB46F5"/>
    <w:rsid w:val="00EB7D86"/>
    <w:rsid w:val="00EB7FCF"/>
    <w:rsid w:val="00EC01F0"/>
    <w:rsid w:val="00EC0CEF"/>
    <w:rsid w:val="00EC22BB"/>
    <w:rsid w:val="00EC23AC"/>
    <w:rsid w:val="00EC23F6"/>
    <w:rsid w:val="00EC4347"/>
    <w:rsid w:val="00EC549F"/>
    <w:rsid w:val="00EC58C7"/>
    <w:rsid w:val="00EC5A30"/>
    <w:rsid w:val="00EC5C17"/>
    <w:rsid w:val="00EC683E"/>
    <w:rsid w:val="00EC7328"/>
    <w:rsid w:val="00EC7DB3"/>
    <w:rsid w:val="00ED02AE"/>
    <w:rsid w:val="00ED0979"/>
    <w:rsid w:val="00ED170F"/>
    <w:rsid w:val="00ED1E97"/>
    <w:rsid w:val="00ED28B3"/>
    <w:rsid w:val="00ED2CB0"/>
    <w:rsid w:val="00ED2EAB"/>
    <w:rsid w:val="00ED3B4D"/>
    <w:rsid w:val="00ED3C3D"/>
    <w:rsid w:val="00ED42AF"/>
    <w:rsid w:val="00ED4382"/>
    <w:rsid w:val="00ED4C25"/>
    <w:rsid w:val="00ED53DC"/>
    <w:rsid w:val="00ED5CB6"/>
    <w:rsid w:val="00ED6116"/>
    <w:rsid w:val="00ED6A33"/>
    <w:rsid w:val="00ED6D3C"/>
    <w:rsid w:val="00ED7B4C"/>
    <w:rsid w:val="00ED7F12"/>
    <w:rsid w:val="00EE0271"/>
    <w:rsid w:val="00EE0A9B"/>
    <w:rsid w:val="00EE1F14"/>
    <w:rsid w:val="00EE2513"/>
    <w:rsid w:val="00EE2854"/>
    <w:rsid w:val="00EE333E"/>
    <w:rsid w:val="00EE339B"/>
    <w:rsid w:val="00EE3536"/>
    <w:rsid w:val="00EE435F"/>
    <w:rsid w:val="00EE4677"/>
    <w:rsid w:val="00EE4CFD"/>
    <w:rsid w:val="00EE596F"/>
    <w:rsid w:val="00EE5AF8"/>
    <w:rsid w:val="00EE6E62"/>
    <w:rsid w:val="00EE79A2"/>
    <w:rsid w:val="00EF04F3"/>
    <w:rsid w:val="00EF070E"/>
    <w:rsid w:val="00EF08B3"/>
    <w:rsid w:val="00EF16CE"/>
    <w:rsid w:val="00EF1748"/>
    <w:rsid w:val="00EF1945"/>
    <w:rsid w:val="00EF1AC8"/>
    <w:rsid w:val="00EF1C7A"/>
    <w:rsid w:val="00EF1CEE"/>
    <w:rsid w:val="00EF1D7E"/>
    <w:rsid w:val="00EF21EA"/>
    <w:rsid w:val="00EF2D51"/>
    <w:rsid w:val="00EF3305"/>
    <w:rsid w:val="00EF43AB"/>
    <w:rsid w:val="00EF46AD"/>
    <w:rsid w:val="00EF53B2"/>
    <w:rsid w:val="00EF5DCA"/>
    <w:rsid w:val="00EF6EEC"/>
    <w:rsid w:val="00EF755D"/>
    <w:rsid w:val="00F00500"/>
    <w:rsid w:val="00F006BD"/>
    <w:rsid w:val="00F00ECD"/>
    <w:rsid w:val="00F01AAA"/>
    <w:rsid w:val="00F01E08"/>
    <w:rsid w:val="00F0275A"/>
    <w:rsid w:val="00F0370C"/>
    <w:rsid w:val="00F03A25"/>
    <w:rsid w:val="00F03C95"/>
    <w:rsid w:val="00F059FA"/>
    <w:rsid w:val="00F05BD4"/>
    <w:rsid w:val="00F07309"/>
    <w:rsid w:val="00F07AE4"/>
    <w:rsid w:val="00F105DB"/>
    <w:rsid w:val="00F107C7"/>
    <w:rsid w:val="00F107CF"/>
    <w:rsid w:val="00F1083D"/>
    <w:rsid w:val="00F1113A"/>
    <w:rsid w:val="00F1136A"/>
    <w:rsid w:val="00F116B3"/>
    <w:rsid w:val="00F1199A"/>
    <w:rsid w:val="00F11AFF"/>
    <w:rsid w:val="00F11D1B"/>
    <w:rsid w:val="00F12918"/>
    <w:rsid w:val="00F12EEE"/>
    <w:rsid w:val="00F13847"/>
    <w:rsid w:val="00F1397A"/>
    <w:rsid w:val="00F14D85"/>
    <w:rsid w:val="00F14DE0"/>
    <w:rsid w:val="00F1531A"/>
    <w:rsid w:val="00F158F2"/>
    <w:rsid w:val="00F15D24"/>
    <w:rsid w:val="00F1653F"/>
    <w:rsid w:val="00F16645"/>
    <w:rsid w:val="00F1697C"/>
    <w:rsid w:val="00F16B1B"/>
    <w:rsid w:val="00F17298"/>
    <w:rsid w:val="00F17674"/>
    <w:rsid w:val="00F179F7"/>
    <w:rsid w:val="00F17A71"/>
    <w:rsid w:val="00F17E57"/>
    <w:rsid w:val="00F2067E"/>
    <w:rsid w:val="00F20A7F"/>
    <w:rsid w:val="00F22246"/>
    <w:rsid w:val="00F23DD1"/>
    <w:rsid w:val="00F241EE"/>
    <w:rsid w:val="00F243EB"/>
    <w:rsid w:val="00F2461B"/>
    <w:rsid w:val="00F2463D"/>
    <w:rsid w:val="00F25A28"/>
    <w:rsid w:val="00F267CB"/>
    <w:rsid w:val="00F26DCA"/>
    <w:rsid w:val="00F27670"/>
    <w:rsid w:val="00F27745"/>
    <w:rsid w:val="00F278A3"/>
    <w:rsid w:val="00F3035D"/>
    <w:rsid w:val="00F3044E"/>
    <w:rsid w:val="00F30FFB"/>
    <w:rsid w:val="00F3126E"/>
    <w:rsid w:val="00F314D6"/>
    <w:rsid w:val="00F3176F"/>
    <w:rsid w:val="00F32886"/>
    <w:rsid w:val="00F335BA"/>
    <w:rsid w:val="00F33722"/>
    <w:rsid w:val="00F342DB"/>
    <w:rsid w:val="00F353FF"/>
    <w:rsid w:val="00F355B6"/>
    <w:rsid w:val="00F35C21"/>
    <w:rsid w:val="00F35DA6"/>
    <w:rsid w:val="00F371EC"/>
    <w:rsid w:val="00F37A7C"/>
    <w:rsid w:val="00F40953"/>
    <w:rsid w:val="00F40C07"/>
    <w:rsid w:val="00F428A0"/>
    <w:rsid w:val="00F43B6D"/>
    <w:rsid w:val="00F44022"/>
    <w:rsid w:val="00F45251"/>
    <w:rsid w:val="00F45451"/>
    <w:rsid w:val="00F473FC"/>
    <w:rsid w:val="00F477AD"/>
    <w:rsid w:val="00F47CF3"/>
    <w:rsid w:val="00F5080A"/>
    <w:rsid w:val="00F50833"/>
    <w:rsid w:val="00F514DA"/>
    <w:rsid w:val="00F51A2D"/>
    <w:rsid w:val="00F5249C"/>
    <w:rsid w:val="00F52570"/>
    <w:rsid w:val="00F526D4"/>
    <w:rsid w:val="00F52E42"/>
    <w:rsid w:val="00F52E64"/>
    <w:rsid w:val="00F5341A"/>
    <w:rsid w:val="00F53456"/>
    <w:rsid w:val="00F5380B"/>
    <w:rsid w:val="00F543FE"/>
    <w:rsid w:val="00F54ACA"/>
    <w:rsid w:val="00F55649"/>
    <w:rsid w:val="00F5579D"/>
    <w:rsid w:val="00F55D12"/>
    <w:rsid w:val="00F565F9"/>
    <w:rsid w:val="00F57F64"/>
    <w:rsid w:val="00F6071A"/>
    <w:rsid w:val="00F6126F"/>
    <w:rsid w:val="00F62321"/>
    <w:rsid w:val="00F62D38"/>
    <w:rsid w:val="00F62E8B"/>
    <w:rsid w:val="00F63230"/>
    <w:rsid w:val="00F64A4A"/>
    <w:rsid w:val="00F64A74"/>
    <w:rsid w:val="00F64F1C"/>
    <w:rsid w:val="00F653E3"/>
    <w:rsid w:val="00F66B44"/>
    <w:rsid w:val="00F700B7"/>
    <w:rsid w:val="00F70473"/>
    <w:rsid w:val="00F7202E"/>
    <w:rsid w:val="00F7357B"/>
    <w:rsid w:val="00F745DA"/>
    <w:rsid w:val="00F74605"/>
    <w:rsid w:val="00F74872"/>
    <w:rsid w:val="00F751B6"/>
    <w:rsid w:val="00F755BF"/>
    <w:rsid w:val="00F75795"/>
    <w:rsid w:val="00F80977"/>
    <w:rsid w:val="00F80BF0"/>
    <w:rsid w:val="00F82FCB"/>
    <w:rsid w:val="00F83B59"/>
    <w:rsid w:val="00F83FC4"/>
    <w:rsid w:val="00F84644"/>
    <w:rsid w:val="00F84F07"/>
    <w:rsid w:val="00F8629C"/>
    <w:rsid w:val="00F86754"/>
    <w:rsid w:val="00F86C13"/>
    <w:rsid w:val="00F875EE"/>
    <w:rsid w:val="00F87698"/>
    <w:rsid w:val="00F87788"/>
    <w:rsid w:val="00F906CE"/>
    <w:rsid w:val="00F909D5"/>
    <w:rsid w:val="00F9117F"/>
    <w:rsid w:val="00F914B8"/>
    <w:rsid w:val="00F9240F"/>
    <w:rsid w:val="00F92D26"/>
    <w:rsid w:val="00F9339F"/>
    <w:rsid w:val="00F937C5"/>
    <w:rsid w:val="00F93880"/>
    <w:rsid w:val="00F942D4"/>
    <w:rsid w:val="00F968EC"/>
    <w:rsid w:val="00F97A58"/>
    <w:rsid w:val="00F97AFA"/>
    <w:rsid w:val="00F97C06"/>
    <w:rsid w:val="00FA1352"/>
    <w:rsid w:val="00FA21E0"/>
    <w:rsid w:val="00FA24DE"/>
    <w:rsid w:val="00FA320B"/>
    <w:rsid w:val="00FA3435"/>
    <w:rsid w:val="00FA39D6"/>
    <w:rsid w:val="00FA3BF4"/>
    <w:rsid w:val="00FA4633"/>
    <w:rsid w:val="00FA4FB8"/>
    <w:rsid w:val="00FA5AC4"/>
    <w:rsid w:val="00FA5E7C"/>
    <w:rsid w:val="00FA7386"/>
    <w:rsid w:val="00FA738F"/>
    <w:rsid w:val="00FA73D6"/>
    <w:rsid w:val="00FA73DB"/>
    <w:rsid w:val="00FA7BD2"/>
    <w:rsid w:val="00FA7DEF"/>
    <w:rsid w:val="00FB0BFC"/>
    <w:rsid w:val="00FB0CE0"/>
    <w:rsid w:val="00FB1F6F"/>
    <w:rsid w:val="00FB256D"/>
    <w:rsid w:val="00FB2ECB"/>
    <w:rsid w:val="00FB39AE"/>
    <w:rsid w:val="00FB5108"/>
    <w:rsid w:val="00FB54D5"/>
    <w:rsid w:val="00FB5584"/>
    <w:rsid w:val="00FB55C5"/>
    <w:rsid w:val="00FB70C6"/>
    <w:rsid w:val="00FB7492"/>
    <w:rsid w:val="00FC00D3"/>
    <w:rsid w:val="00FC04AA"/>
    <w:rsid w:val="00FC1049"/>
    <w:rsid w:val="00FC22E1"/>
    <w:rsid w:val="00FC29F5"/>
    <w:rsid w:val="00FC35C5"/>
    <w:rsid w:val="00FC3C42"/>
    <w:rsid w:val="00FC481B"/>
    <w:rsid w:val="00FC5575"/>
    <w:rsid w:val="00FC64A6"/>
    <w:rsid w:val="00FC67A6"/>
    <w:rsid w:val="00FC6B3A"/>
    <w:rsid w:val="00FC6D2C"/>
    <w:rsid w:val="00FD020D"/>
    <w:rsid w:val="00FD0D41"/>
    <w:rsid w:val="00FD1E14"/>
    <w:rsid w:val="00FD31D1"/>
    <w:rsid w:val="00FD4357"/>
    <w:rsid w:val="00FD463E"/>
    <w:rsid w:val="00FD479F"/>
    <w:rsid w:val="00FD55F8"/>
    <w:rsid w:val="00FD5A76"/>
    <w:rsid w:val="00FD6014"/>
    <w:rsid w:val="00FD62A4"/>
    <w:rsid w:val="00FD6729"/>
    <w:rsid w:val="00FD69F4"/>
    <w:rsid w:val="00FD6C11"/>
    <w:rsid w:val="00FE0025"/>
    <w:rsid w:val="00FE01A0"/>
    <w:rsid w:val="00FE0C9A"/>
    <w:rsid w:val="00FE1973"/>
    <w:rsid w:val="00FE1B5E"/>
    <w:rsid w:val="00FE1B67"/>
    <w:rsid w:val="00FE1F50"/>
    <w:rsid w:val="00FE247D"/>
    <w:rsid w:val="00FE279B"/>
    <w:rsid w:val="00FE2A1A"/>
    <w:rsid w:val="00FE2BD5"/>
    <w:rsid w:val="00FE337A"/>
    <w:rsid w:val="00FE598D"/>
    <w:rsid w:val="00FE5D04"/>
    <w:rsid w:val="00FE60F6"/>
    <w:rsid w:val="00FE6614"/>
    <w:rsid w:val="00FE68EC"/>
    <w:rsid w:val="00FE7B4A"/>
    <w:rsid w:val="00FF3205"/>
    <w:rsid w:val="00FF37E7"/>
    <w:rsid w:val="00FF3E72"/>
    <w:rsid w:val="00FF3FAC"/>
    <w:rsid w:val="00FF4031"/>
    <w:rsid w:val="00FF4925"/>
    <w:rsid w:val="00FF4A44"/>
    <w:rsid w:val="00FF4AD4"/>
    <w:rsid w:val="00FF7027"/>
    <w:rsid w:val="00FF78CE"/>
    <w:rsid w:val="00FF7C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24D"/>
    <w:pPr>
      <w:spacing w:after="160" w:line="259" w:lineRule="auto"/>
    </w:pPr>
    <w:rPr>
      <w:rFonts w:ascii="Calibri" w:eastAsia="Calibri" w:hAnsi="Calibri" w:cs="Times New Roman"/>
    </w:rPr>
  </w:style>
  <w:style w:type="paragraph" w:styleId="1">
    <w:name w:val="heading 1"/>
    <w:basedOn w:val="a"/>
    <w:next w:val="a"/>
    <w:link w:val="10"/>
    <w:uiPriority w:val="99"/>
    <w:qFormat/>
    <w:rsid w:val="00AA624D"/>
    <w:pPr>
      <w:keepNext/>
      <w:spacing w:before="240" w:after="60" w:line="240" w:lineRule="auto"/>
      <w:outlineLvl w:val="0"/>
    </w:pPr>
    <w:rPr>
      <w:rFonts w:ascii="Arial" w:eastAsia="Times New Roman" w:hAnsi="Arial"/>
      <w:b/>
      <w:kern w:val="28"/>
      <w:sz w:val="28"/>
      <w:szCs w:val="20"/>
      <w:lang w:eastAsia="ru-RU"/>
    </w:rPr>
  </w:style>
  <w:style w:type="paragraph" w:styleId="2">
    <w:name w:val="heading 2"/>
    <w:basedOn w:val="a"/>
    <w:next w:val="a"/>
    <w:link w:val="20"/>
    <w:autoRedefine/>
    <w:uiPriority w:val="99"/>
    <w:qFormat/>
    <w:rsid w:val="00AA624D"/>
    <w:pPr>
      <w:keepNext/>
      <w:spacing w:before="120" w:after="120" w:line="240" w:lineRule="auto"/>
      <w:jc w:val="both"/>
      <w:outlineLvl w:val="1"/>
    </w:pPr>
    <w:rPr>
      <w:rFonts w:ascii="Times New Roman" w:eastAsia="Times New Roman" w:hAnsi="Times New Roman"/>
      <w:b/>
      <w:i/>
      <w:iCs/>
      <w:sz w:val="28"/>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624D"/>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9"/>
    <w:rsid w:val="00AA624D"/>
    <w:rPr>
      <w:rFonts w:ascii="Times New Roman" w:eastAsia="Times New Roman" w:hAnsi="Times New Roman" w:cs="Times New Roman"/>
      <w:b/>
      <w:i/>
      <w:iCs/>
      <w:sz w:val="28"/>
      <w:szCs w:val="28"/>
      <w:u w:val="single"/>
      <w:lang w:eastAsia="ru-RU"/>
    </w:rPr>
  </w:style>
  <w:style w:type="paragraph" w:styleId="a3">
    <w:name w:val="Body Text Indent"/>
    <w:basedOn w:val="a"/>
    <w:link w:val="a4"/>
    <w:uiPriority w:val="99"/>
    <w:rsid w:val="00AA624D"/>
    <w:pPr>
      <w:spacing w:after="0" w:line="240" w:lineRule="auto"/>
      <w:ind w:firstLine="567"/>
    </w:pPr>
    <w:rPr>
      <w:rFonts w:ascii="Times New Roman" w:eastAsia="Times New Roman" w:hAnsi="Times New Roman"/>
      <w:sz w:val="24"/>
      <w:szCs w:val="20"/>
      <w:lang w:eastAsia="ru-RU"/>
    </w:rPr>
  </w:style>
  <w:style w:type="character" w:customStyle="1" w:styleId="a4">
    <w:name w:val="Основной текст с отступом Знак"/>
    <w:basedOn w:val="a0"/>
    <w:link w:val="a3"/>
    <w:uiPriority w:val="99"/>
    <w:rsid w:val="00AA624D"/>
    <w:rPr>
      <w:rFonts w:ascii="Times New Roman" w:eastAsia="Times New Roman" w:hAnsi="Times New Roman" w:cs="Times New Roman"/>
      <w:sz w:val="24"/>
      <w:szCs w:val="20"/>
      <w:lang w:eastAsia="ru-RU"/>
    </w:rPr>
  </w:style>
  <w:style w:type="paragraph" w:styleId="21">
    <w:name w:val="Body Text Indent 2"/>
    <w:basedOn w:val="a"/>
    <w:link w:val="22"/>
    <w:uiPriority w:val="99"/>
    <w:rsid w:val="00AA624D"/>
    <w:pPr>
      <w:spacing w:after="0" w:line="240" w:lineRule="auto"/>
      <w:ind w:left="284" w:firstLine="283"/>
    </w:pPr>
    <w:rPr>
      <w:rFonts w:ascii="Times New Roman" w:eastAsia="Times New Roman" w:hAnsi="Times New Roman"/>
      <w:sz w:val="24"/>
      <w:szCs w:val="20"/>
      <w:lang w:eastAsia="ru-RU"/>
    </w:rPr>
  </w:style>
  <w:style w:type="character" w:customStyle="1" w:styleId="22">
    <w:name w:val="Основной текст с отступом 2 Знак"/>
    <w:basedOn w:val="a0"/>
    <w:link w:val="21"/>
    <w:uiPriority w:val="99"/>
    <w:rsid w:val="00AA624D"/>
    <w:rPr>
      <w:rFonts w:ascii="Times New Roman" w:eastAsia="Times New Roman" w:hAnsi="Times New Roman" w:cs="Times New Roman"/>
      <w:sz w:val="24"/>
      <w:szCs w:val="20"/>
      <w:lang w:eastAsia="ru-RU"/>
    </w:rPr>
  </w:style>
  <w:style w:type="character" w:customStyle="1" w:styleId="apple-style-span">
    <w:name w:val="apple-style-span"/>
    <w:basedOn w:val="a0"/>
    <w:uiPriority w:val="99"/>
    <w:rsid w:val="00AA624D"/>
    <w:rPr>
      <w:rFonts w:cs="Times New Roman"/>
    </w:rPr>
  </w:style>
  <w:style w:type="paragraph" w:styleId="a5">
    <w:name w:val="List Paragraph"/>
    <w:basedOn w:val="a"/>
    <w:uiPriority w:val="99"/>
    <w:qFormat/>
    <w:rsid w:val="00AA624D"/>
    <w:pPr>
      <w:ind w:left="720"/>
      <w:contextualSpacing/>
    </w:pPr>
  </w:style>
  <w:style w:type="paragraph" w:styleId="HTML">
    <w:name w:val="HTML Preformatted"/>
    <w:basedOn w:val="a"/>
    <w:link w:val="HTML0"/>
    <w:uiPriority w:val="99"/>
    <w:rsid w:val="00AA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3"/>
      <w:szCs w:val="23"/>
      <w:lang w:val="ru-RU" w:eastAsia="ru-RU"/>
    </w:rPr>
  </w:style>
  <w:style w:type="character" w:customStyle="1" w:styleId="HTML0">
    <w:name w:val="Стандартный HTML Знак"/>
    <w:basedOn w:val="a0"/>
    <w:link w:val="HTML"/>
    <w:uiPriority w:val="99"/>
    <w:rsid w:val="00AA624D"/>
    <w:rPr>
      <w:rFonts w:ascii="Courier New" w:eastAsia="Times New Roman" w:hAnsi="Courier New" w:cs="Courier New"/>
      <w:color w:val="000000"/>
      <w:sz w:val="23"/>
      <w:szCs w:val="23"/>
      <w:lang w:val="ru-RU" w:eastAsia="ru-RU"/>
    </w:rPr>
  </w:style>
  <w:style w:type="paragraph" w:customStyle="1" w:styleId="rvps2">
    <w:name w:val="rvps2"/>
    <w:basedOn w:val="a"/>
    <w:rsid w:val="00AA624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AA62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24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13692</Words>
  <Characters>7805</Characters>
  <Application>Microsoft Office Word</Application>
  <DocSecurity>0</DocSecurity>
  <Lines>65</Lines>
  <Paragraphs>42</Paragraphs>
  <ScaleCrop>false</ScaleCrop>
  <Company/>
  <LinksUpToDate>false</LinksUpToDate>
  <CharactersWithSpaces>21455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n.yarova</dc:creator>
  <cp:lastModifiedBy>n.yarova</cp:lastModifiedBy>
  <cp:revision>1</cp:revision>
  <dcterms:created xsi:type="dcterms:W3CDTF">2017-05-19T13:22:00Z</dcterms:created>
  <dcterms:modified xsi:type="dcterms:W3CDTF">2017-05-19T13:26:00Z</dcterms:modified>
</cp:coreProperties>
</file>