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2DA2" w:rsidRPr="00222DA2" w:rsidRDefault="00222DA2" w:rsidP="00222D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A2">
        <w:rPr>
          <w:rFonts w:ascii="Times New Roman" w:hAnsi="Times New Roman" w:cs="Times New Roman"/>
          <w:b/>
          <w:bCs/>
          <w:sz w:val="24"/>
          <w:szCs w:val="24"/>
        </w:rPr>
        <w:t>Повідомлення про проведення Загальних зборів ОСББ «Саксаганське»</w:t>
      </w:r>
    </w:p>
    <w:p w:rsidR="00222DA2" w:rsidRPr="00222DA2" w:rsidRDefault="00222DA2">
      <w:pPr>
        <w:rPr>
          <w:rFonts w:ascii="Times New Roman" w:hAnsi="Times New Roman" w:cs="Times New Roman"/>
          <w:sz w:val="24"/>
          <w:szCs w:val="24"/>
        </w:rPr>
      </w:pPr>
    </w:p>
    <w:p w:rsidR="00222DA2" w:rsidRPr="00222DA2" w:rsidRDefault="00222DA2" w:rsidP="00222D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DA2">
        <w:rPr>
          <w:rFonts w:ascii="Times New Roman" w:hAnsi="Times New Roman" w:cs="Times New Roman"/>
          <w:sz w:val="24"/>
          <w:szCs w:val="24"/>
        </w:rPr>
        <w:t xml:space="preserve">Повідомляємо Вам про те, що </w:t>
      </w:r>
      <w:r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A76719"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A76719"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квітня </w:t>
      </w:r>
      <w:r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2026 року о </w:t>
      </w:r>
      <w:r w:rsidR="00B62054" w:rsidRPr="00B6205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18</w:t>
      </w:r>
      <w:r w:rsidR="00A76719"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</w:t>
      </w:r>
      <w:r w:rsidR="00A76719" w:rsidRPr="00B62054">
        <w:rPr>
          <w:rFonts w:ascii="Times New Roman" w:hAnsi="Times New Roman" w:cs="Times New Roman"/>
          <w:b/>
          <w:bCs/>
          <w:sz w:val="24"/>
          <w:szCs w:val="24"/>
          <w:u w:val="single"/>
        </w:rPr>
        <w:t>. 00 хв.</w:t>
      </w:r>
      <w:r w:rsidRPr="00222DA2">
        <w:rPr>
          <w:rFonts w:ascii="Times New Roman" w:hAnsi="Times New Roman" w:cs="Times New Roman"/>
          <w:sz w:val="24"/>
          <w:szCs w:val="24"/>
        </w:rPr>
        <w:t xml:space="preserve"> за адресою</w:t>
      </w:r>
      <w:r w:rsidR="00A76719">
        <w:rPr>
          <w:rFonts w:ascii="Times New Roman" w:hAnsi="Times New Roman" w:cs="Times New Roman"/>
          <w:sz w:val="24"/>
          <w:szCs w:val="24"/>
        </w:rPr>
        <w:t>:</w:t>
      </w:r>
      <w:r w:rsidRPr="00222DA2">
        <w:rPr>
          <w:rFonts w:ascii="Times New Roman" w:hAnsi="Times New Roman" w:cs="Times New Roman"/>
          <w:sz w:val="24"/>
          <w:szCs w:val="24"/>
        </w:rPr>
        <w:t xml:space="preserve"> м. Київ, вул. Саксаганського, 70а, відбудуться Загальні збори ОСББ «Саксаганське». </w:t>
      </w:r>
    </w:p>
    <w:p w:rsidR="00222DA2" w:rsidRPr="00222DA2" w:rsidRDefault="00222DA2">
      <w:pPr>
        <w:rPr>
          <w:rFonts w:ascii="Times New Roman" w:hAnsi="Times New Roman" w:cs="Times New Roman"/>
          <w:sz w:val="24"/>
          <w:szCs w:val="24"/>
        </w:rPr>
      </w:pPr>
      <w:r w:rsidRPr="00222DA2">
        <w:rPr>
          <w:rFonts w:ascii="Times New Roman" w:hAnsi="Times New Roman" w:cs="Times New Roman"/>
          <w:sz w:val="24"/>
          <w:szCs w:val="24"/>
        </w:rPr>
        <w:t>ПОРЯДОК ДЕННИЙ ЗАГАЛЬНИХ ЗБОРІВ:</w:t>
      </w:r>
    </w:p>
    <w:p w:rsidR="00222DA2" w:rsidRPr="00E84D55" w:rsidRDefault="00222DA2" w:rsidP="00222DA2">
      <w:pPr>
        <w:pStyle w:val="a3"/>
        <w:numPr>
          <w:ilvl w:val="0"/>
          <w:numId w:val="1"/>
        </w:numPr>
        <w:spacing w:after="0"/>
        <w:rPr>
          <w:b/>
          <w:bCs/>
          <w:iCs/>
        </w:rPr>
      </w:pPr>
      <w:r w:rsidRPr="00E84D55">
        <w:rPr>
          <w:b/>
          <w:bCs/>
          <w:iCs/>
        </w:rPr>
        <w:t>Організаційні питання Загальних зборів.</w:t>
      </w:r>
    </w:p>
    <w:p w:rsidR="00222DA2" w:rsidRPr="00E84D55" w:rsidRDefault="00222DA2" w:rsidP="00222DA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 w:rsidRPr="00E84D55">
        <w:rPr>
          <w:b/>
          <w:bCs/>
        </w:rPr>
        <w:t>Про внесення змін до договору про надання послуг з управління багатоквартирним будинком, затвердження переліку послуг, що включаються до послуги з управління багатоквартирним будинком, які надаються управителем, затвердження кошторису витрат на утримання будинку та прибудинкової території та вартості послуги з управління багатоквартирним будинком на 2026 рік.</w:t>
      </w:r>
    </w:p>
    <w:p w:rsidR="00222DA2" w:rsidRPr="00E84D55" w:rsidRDefault="00222DA2" w:rsidP="00E84D55">
      <w:pPr>
        <w:pStyle w:val="a3"/>
        <w:numPr>
          <w:ilvl w:val="0"/>
          <w:numId w:val="1"/>
        </w:numPr>
        <w:spacing w:after="0"/>
        <w:jc w:val="both"/>
        <w:rPr>
          <w:b/>
          <w:bCs/>
        </w:rPr>
      </w:pPr>
      <w:r w:rsidRPr="00E84D55">
        <w:rPr>
          <w:b/>
          <w:bCs/>
          <w:color w:val="000000"/>
        </w:rPr>
        <w:t xml:space="preserve">Прийняття рішення про вибір моделі організації договірних відносин з виконавцями комунальних послуг з централізованого водопостачання та централізованого водовідведення, послуг </w:t>
      </w:r>
      <w:r w:rsidRPr="00E84D55">
        <w:rPr>
          <w:b/>
          <w:bCs/>
          <w:color w:val="333333"/>
          <w:shd w:val="clear" w:color="auto" w:fill="FFFFFF"/>
        </w:rPr>
        <w:t>постачання теплової енергії, постачання гарячої води.</w:t>
      </w:r>
    </w:p>
    <w:p w:rsidR="00222DA2" w:rsidRPr="00E84D55" w:rsidRDefault="00222DA2" w:rsidP="00E84D55">
      <w:pPr>
        <w:pStyle w:val="a3"/>
        <w:numPr>
          <w:ilvl w:val="0"/>
          <w:numId w:val="1"/>
        </w:numPr>
        <w:spacing w:after="0"/>
        <w:jc w:val="both"/>
        <w:rPr>
          <w:b/>
          <w:bCs/>
        </w:rPr>
      </w:pPr>
      <w:r w:rsidRPr="00E84D55">
        <w:rPr>
          <w:b/>
          <w:bCs/>
        </w:rPr>
        <w:t>Про передачу у комунальну власність зовнішньої каналізаційної мережі.</w:t>
      </w:r>
    </w:p>
    <w:p w:rsidR="00222DA2" w:rsidRPr="00E84D55" w:rsidRDefault="00222DA2" w:rsidP="00E84D55">
      <w:pPr>
        <w:pStyle w:val="a3"/>
        <w:numPr>
          <w:ilvl w:val="0"/>
          <w:numId w:val="1"/>
        </w:numPr>
        <w:spacing w:after="0"/>
        <w:jc w:val="both"/>
        <w:rPr>
          <w:b/>
          <w:bCs/>
        </w:rPr>
      </w:pPr>
      <w:r w:rsidRPr="00E84D55">
        <w:rPr>
          <w:b/>
          <w:bCs/>
        </w:rPr>
        <w:t xml:space="preserve">Про перевірку </w:t>
      </w:r>
      <w:r w:rsidRPr="00E84D55">
        <w:rPr>
          <w:b/>
          <w:bCs/>
          <w:color w:val="000000"/>
        </w:rPr>
        <w:t>каналізаційної шахти будинку.</w:t>
      </w:r>
    </w:p>
    <w:p w:rsidR="00E84D55" w:rsidRPr="00E84D55" w:rsidRDefault="00E84D55" w:rsidP="00E84D5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b/>
          <w:bCs/>
        </w:rPr>
      </w:pPr>
      <w:r w:rsidRPr="00E84D55">
        <w:rPr>
          <w:b/>
          <w:bCs/>
        </w:rPr>
        <w:t xml:space="preserve">Про надання згоди на проектування та виконання будівельних робіт. </w:t>
      </w:r>
    </w:p>
    <w:p w:rsidR="005E224C" w:rsidRPr="00E84D55" w:rsidRDefault="005E224C" w:rsidP="00E84D55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Прийняття участі у Програмі «СвітлоДІМ».</w:t>
      </w:r>
    </w:p>
    <w:p w:rsidR="005E224C" w:rsidRPr="00E84D55" w:rsidRDefault="005E224C" w:rsidP="00E84D55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Прийняття участі у конкурсі проектів з реалізації енергоефективних заходів у житлових будинках міста Києва «30/70».</w:t>
      </w:r>
    </w:p>
    <w:p w:rsidR="005E224C" w:rsidRPr="00E84D55" w:rsidRDefault="005E224C" w:rsidP="00E84D55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Прийняття участі в міській  програмі  співфінансування.</w:t>
      </w:r>
    </w:p>
    <w:p w:rsidR="005E224C" w:rsidRPr="00E84D55" w:rsidRDefault="005E224C" w:rsidP="00E84D55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Надання згоди на здійснення капітального ремонту спільного майна багатоквартирного будинку.</w:t>
      </w:r>
    </w:p>
    <w:p w:rsidR="005E224C" w:rsidRPr="00E84D55" w:rsidRDefault="005E224C" w:rsidP="005E224C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Прийняття участі у Програмі «</w:t>
      </w:r>
      <w:proofErr w:type="spellStart"/>
      <w:r w:rsidRPr="00E84D55">
        <w:rPr>
          <w:b/>
          <w:bCs/>
        </w:rPr>
        <w:t>ГрінДІМ</w:t>
      </w:r>
      <w:proofErr w:type="spellEnd"/>
      <w:r w:rsidRPr="00E84D55">
        <w:rPr>
          <w:b/>
          <w:bCs/>
        </w:rPr>
        <w:t>».</w:t>
      </w:r>
    </w:p>
    <w:p w:rsidR="005E224C" w:rsidRPr="00E84D55" w:rsidRDefault="005E224C" w:rsidP="00E84D55">
      <w:pPr>
        <w:pStyle w:val="a3"/>
        <w:numPr>
          <w:ilvl w:val="0"/>
          <w:numId w:val="1"/>
        </w:numPr>
        <w:spacing w:before="0" w:beforeAutospacing="0" w:after="160" w:afterAutospacing="0" w:line="259" w:lineRule="auto"/>
        <w:contextualSpacing/>
        <w:jc w:val="both"/>
        <w:rPr>
          <w:b/>
          <w:bCs/>
        </w:rPr>
      </w:pPr>
      <w:r w:rsidRPr="00E84D55">
        <w:rPr>
          <w:b/>
          <w:bCs/>
        </w:rPr>
        <w:t>Рішення щодо участі ОСББ у програмах розвитку, фінансування та модернізації багатоквартирного будинку.</w:t>
      </w:r>
    </w:p>
    <w:p w:rsidR="00222DA2" w:rsidRPr="00A76719" w:rsidRDefault="00184EE2" w:rsidP="00A7671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Повідомляємо про відсутність технічної можливості для участі співвласників в Загальних зборах дистанційно в режимі відеоконференції.</w:t>
      </w:r>
    </w:p>
    <w:p w:rsidR="00222DA2" w:rsidRPr="00A76719" w:rsidRDefault="00A76719" w:rsidP="00A7671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19">
        <w:rPr>
          <w:rFonts w:ascii="Times New Roman" w:hAnsi="Times New Roman" w:cs="Times New Roman"/>
          <w:sz w:val="24"/>
          <w:szCs w:val="24"/>
        </w:rPr>
        <w:t>Загальні з</w:t>
      </w:r>
      <w:r w:rsidR="00222DA2" w:rsidRPr="00A76719">
        <w:rPr>
          <w:rFonts w:ascii="Times New Roman" w:hAnsi="Times New Roman" w:cs="Times New Roman"/>
          <w:sz w:val="24"/>
          <w:szCs w:val="24"/>
        </w:rPr>
        <w:t>бори скликаються ініціативною групою співвласників.</w:t>
      </w:r>
    </w:p>
    <w:p w:rsidR="00222DA2" w:rsidRPr="00A76719" w:rsidRDefault="00A76719" w:rsidP="00A7671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19">
        <w:rPr>
          <w:rFonts w:ascii="Times New Roman" w:hAnsi="Times New Roman" w:cs="Times New Roman"/>
          <w:sz w:val="24"/>
          <w:szCs w:val="24"/>
        </w:rPr>
        <w:t>Співвласник (їх представники) повинні мати с собою</w:t>
      </w:r>
      <w:r w:rsidR="00222DA2" w:rsidRPr="00A76719">
        <w:rPr>
          <w:rFonts w:ascii="Times New Roman" w:hAnsi="Times New Roman" w:cs="Times New Roman"/>
          <w:sz w:val="24"/>
          <w:szCs w:val="24"/>
        </w:rPr>
        <w:t xml:space="preserve"> документ, що посвідчує особу власника та документи на право власності. </w:t>
      </w:r>
      <w:r w:rsidRPr="00A76719">
        <w:rPr>
          <w:rFonts w:ascii="Times New Roman" w:hAnsi="Times New Roman" w:cs="Times New Roman"/>
          <w:sz w:val="24"/>
          <w:szCs w:val="24"/>
        </w:rPr>
        <w:t xml:space="preserve">Для представника за дорученням </w:t>
      </w:r>
      <w:r w:rsidR="00222DA2" w:rsidRPr="00A76719">
        <w:rPr>
          <w:rFonts w:ascii="Times New Roman" w:hAnsi="Times New Roman" w:cs="Times New Roman"/>
          <w:sz w:val="24"/>
          <w:szCs w:val="24"/>
        </w:rPr>
        <w:t>на право голосування при собі мати документ, що посвідчує особу повіреного та довіреність. Для батьків</w:t>
      </w:r>
      <w:r w:rsidRPr="00A76719">
        <w:rPr>
          <w:rFonts w:ascii="Times New Roman" w:hAnsi="Times New Roman" w:cs="Times New Roman"/>
          <w:sz w:val="24"/>
          <w:szCs w:val="24"/>
        </w:rPr>
        <w:t xml:space="preserve"> законних представників)</w:t>
      </w:r>
      <w:r w:rsidR="00222DA2" w:rsidRPr="00A76719">
        <w:rPr>
          <w:rFonts w:ascii="Times New Roman" w:hAnsi="Times New Roman" w:cs="Times New Roman"/>
          <w:sz w:val="24"/>
          <w:szCs w:val="24"/>
        </w:rPr>
        <w:t xml:space="preserve">, що голосують за неповнолітніх дітей при собі мати додатково свідоцтво про народження дитини. </w:t>
      </w:r>
      <w:r>
        <w:rPr>
          <w:rFonts w:ascii="Times New Roman" w:hAnsi="Times New Roman" w:cs="Times New Roman"/>
          <w:sz w:val="24"/>
          <w:szCs w:val="24"/>
        </w:rPr>
        <w:t xml:space="preserve">Для керівників юридичних осіб – співвласників додатково мати виписку з Єдиного державного реєстру юридичних осіб, фізичних осіб – підприємців та громадських формувань. </w:t>
      </w:r>
    </w:p>
    <w:p w:rsidR="00222DA2" w:rsidRPr="00222DA2" w:rsidRDefault="00222DA2" w:rsidP="00A7671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19">
        <w:rPr>
          <w:rFonts w:ascii="Times New Roman" w:hAnsi="Times New Roman" w:cs="Times New Roman"/>
          <w:sz w:val="24"/>
          <w:szCs w:val="24"/>
        </w:rPr>
        <w:t>Проекти рішень по питаннях порядку денного, що пропонуються для розгляду можливо</w:t>
      </w:r>
      <w:r w:rsidRPr="00222DA2">
        <w:rPr>
          <w:rFonts w:ascii="Times New Roman" w:hAnsi="Times New Roman" w:cs="Times New Roman"/>
          <w:sz w:val="24"/>
          <w:szCs w:val="24"/>
        </w:rPr>
        <w:t xml:space="preserve"> отримати в електронному вигляді за письмовим запитом на електрону адресу </w:t>
      </w:r>
      <w:r w:rsidR="00A76719" w:rsidRPr="00A76719">
        <w:rPr>
          <w:rFonts w:ascii="Times New Roman" w:hAnsi="Times New Roman" w:cs="Times New Roman"/>
          <w:b/>
          <w:bCs/>
          <w:sz w:val="24"/>
          <w:szCs w:val="24"/>
          <w:u w:val="single"/>
        </w:rPr>
        <w:t>servis70a@gmail.com</w:t>
      </w:r>
    </w:p>
    <w:p w:rsidR="00222DA2" w:rsidRPr="00222DA2" w:rsidRDefault="00222DA2">
      <w:pPr>
        <w:rPr>
          <w:rFonts w:ascii="Times New Roman" w:hAnsi="Times New Roman" w:cs="Times New Roman"/>
          <w:sz w:val="24"/>
          <w:szCs w:val="24"/>
        </w:rPr>
      </w:pPr>
    </w:p>
    <w:p w:rsidR="00A76719" w:rsidRPr="00A76719" w:rsidRDefault="00222DA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6719">
        <w:rPr>
          <w:rFonts w:ascii="Times New Roman" w:hAnsi="Times New Roman" w:cs="Times New Roman"/>
          <w:i/>
          <w:iCs/>
          <w:sz w:val="24"/>
          <w:szCs w:val="24"/>
        </w:rPr>
        <w:t xml:space="preserve">Ініціативна група щодо призначення та проведення </w:t>
      </w:r>
    </w:p>
    <w:p w:rsidR="00222DA2" w:rsidRPr="00A76719" w:rsidRDefault="00222DA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6719">
        <w:rPr>
          <w:rFonts w:ascii="Times New Roman" w:hAnsi="Times New Roman" w:cs="Times New Roman"/>
          <w:i/>
          <w:iCs/>
          <w:sz w:val="24"/>
          <w:szCs w:val="24"/>
        </w:rPr>
        <w:t>Загальних зборів ОСББ «Саксаганське»</w:t>
      </w:r>
    </w:p>
    <w:sectPr w:rsidR="00222DA2" w:rsidRPr="00A767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E7F"/>
    <w:multiLevelType w:val="hybridMultilevel"/>
    <w:tmpl w:val="C07E4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84803"/>
    <w:multiLevelType w:val="hybridMultilevel"/>
    <w:tmpl w:val="9814B5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A2"/>
    <w:rsid w:val="00040561"/>
    <w:rsid w:val="00184EE2"/>
    <w:rsid w:val="00222DA2"/>
    <w:rsid w:val="005E224C"/>
    <w:rsid w:val="00A76719"/>
    <w:rsid w:val="00B62054"/>
    <w:rsid w:val="00E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D09"/>
  <w15:chartTrackingRefBased/>
  <w15:docId w15:val="{C5702971-2EBC-406E-9CAD-9EA7FC24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E8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sofiia shapoval</dc:creator>
  <cp:keywords/>
  <dc:description/>
  <cp:lastModifiedBy>Татьяна Билявская</cp:lastModifiedBy>
  <cp:revision>3</cp:revision>
  <dcterms:created xsi:type="dcterms:W3CDTF">2026-03-27T13:21:00Z</dcterms:created>
  <dcterms:modified xsi:type="dcterms:W3CDTF">2026-03-31T09:42:00Z</dcterms:modified>
</cp:coreProperties>
</file>